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55" w:rsidRDefault="00FC72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🚀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Цифровая платформа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МСП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 открывает доступные горизонты для предпринимателей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Предприниматели,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самозанятые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те, кто планирует начать свой бизнес, могут воспользоваться услугами и сервисами Цифровой платформы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МСП.РФ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Для предпринимателей Саратовской области доступны региональные меры поддержки на Цифровой платформе МСП.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Одна из них - консультация по вопросам осуществления предпринимательской деятельности: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6" type="#_x0000_t75" alt="🔸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начало ведения собственного дела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7" type="#_x0000_t75" alt="🔸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получение мер государственной поддержки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8" type="#_x0000_t75" alt="🔸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финансовое планирование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9" type="#_x0000_t75" alt="🔸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налогообложение</w:t>
      </w:r>
      <w:proofErr w:type="gramStart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ля получения услуги через Цифровую платформу МСП необходимо войти в личный кабинет по учётной записи портала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 и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оставить заявку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на получение консультации и услуг. Специалист Центра «Мой бизнес» ответит в письменной форме или позвонит. Посещение Центра «Мой бизнес» не требуется. </w:t>
      </w:r>
      <w:r>
        <w:rPr>
          <w:rFonts w:ascii="Arial" w:hAnsi="Arial" w:cs="Arial"/>
          <w:i/>
          <w:iCs/>
          <w:color w:val="2C2D2E"/>
          <w:sz w:val="23"/>
          <w:szCs w:val="23"/>
          <w:shd w:val="clear" w:color="auto" w:fill="FFFFFF"/>
        </w:rPr>
        <w:t>Кроме того, регистрация на Цифровой платформе МСП для предпринимателей области, является одним из важных требований для получения комплексных услуг от Центра «Мой бизнес».</w:t>
      </w:r>
      <w:r>
        <w:rPr>
          <w:rFonts w:ascii="Arial" w:hAnsi="Arial" w:cs="Arial"/>
          <w:i/>
          <w:iCs/>
          <w:color w:val="2C2D2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i/>
          <w:iCs/>
          <w:color w:val="2C2D2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Тем, кто уже развивает свое дело или только планирует его начать, на платформе доступны более 20 бесплатных сервисов: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30" type="#_x0000_t75" alt="🔘" style="width:24pt;height:24pt"/>
        </w:pic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расчет рейтинга бизнеса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1" type="#_x0000_t75" alt="🔘" style="width:24pt;height:24pt"/>
        </w:pic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проверка контрагента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2" type="#_x0000_t75" alt="🔘" style="width:24pt;height:24pt"/>
        </w:pict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рынки сбыта продукции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3" type="#_x0000_t75" alt="🔘" style="width:24pt;height:24pt"/>
        </w:pict>
      </w: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доступ к закупкам крупных госкомпаний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4" type="#_x0000_t75" alt="🔘" style="width:24pt;height:24pt"/>
        </w:pict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защита прав предпринимателей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5" type="#_x0000_t75" alt="🔘" style="width:24pt;height:24pt"/>
        </w:pict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бизнес-обучение и поддержка наставников</w:t>
        </w:r>
      </w:hyperlink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6" type="#_x0000_t75" alt="🔘" style="width:24pt;height:24pt"/>
        </w:pic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конструктор документов;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</w:r>
      <w:r>
        <w:pict>
          <v:shape id="_x0000_i1037" type="#_x0000_t75" alt="🔘" style="width:24pt;height:24pt"/>
        </w:pic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календарь предпринимателя;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br/>
        <w:t>и многое другое.</w:t>
      </w:r>
    </w:p>
    <w:sectPr w:rsidR="006A5355" w:rsidSect="006A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B5"/>
    <w:rsid w:val="006A5355"/>
    <w:rsid w:val="00FC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development/prom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services/counterparty/prom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antikrizisnye-mery/raschet-re" TargetMode="External"/><Relationship Id="rId11" Type="http://schemas.openxmlformats.org/officeDocument/2006/relationships/hyperlink" Target="https://xn--l1agf.xn--p1ai/education/promo/" TargetMode="External"/><Relationship Id="rId5" Type="http://schemas.openxmlformats.org/officeDocument/2006/relationships/hyperlink" Target="https://xn--l1agf.xn--p1ai/services/support/filter/" TargetMode="External"/><Relationship Id="rId10" Type="http://schemas.openxmlformats.org/officeDocument/2006/relationships/hyperlink" Target="https://xn--l1agf.xn--p1ai/services/360/" TargetMode="External"/><Relationship Id="rId4" Type="http://schemas.openxmlformats.org/officeDocument/2006/relationships/hyperlink" Target="https://xn--l1agf.xn--p1ai/" TargetMode="External"/><Relationship Id="rId9" Type="http://schemas.openxmlformats.org/officeDocument/2006/relationships/hyperlink" Target="https://xn--l1agf.xn--p1ai/services/purchase_access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2023-07-21T08:44:00Z</dcterms:created>
  <dcterms:modified xsi:type="dcterms:W3CDTF">2023-07-21T08:45:00Z</dcterms:modified>
</cp:coreProperties>
</file>