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eastAsia="Courier New" w:hAnsi="Times New Roman"/>
          <w:b/>
          <w:sz w:val="26"/>
          <w:szCs w:val="26"/>
        </w:rPr>
        <w:t>2025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sz w:val="26"/>
          <w:szCs w:val="26"/>
        </w:rPr>
        <w:t>Песчанского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B320DA">
        <w:rPr>
          <w:rFonts w:ascii="Times New Roman" w:eastAsia="Times New Roman" w:hAnsi="Times New Roman"/>
          <w:sz w:val="26"/>
          <w:szCs w:val="26"/>
        </w:rPr>
        <w:t>2025-2027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282BB7">
        <w:rPr>
          <w:rFonts w:ascii="Times New Roman" w:hAnsi="Times New Roman"/>
          <w:sz w:val="26"/>
          <w:szCs w:val="26"/>
        </w:rPr>
        <w:t xml:space="preserve">1 кв. </w:t>
      </w:r>
      <w:r w:rsidR="00505015">
        <w:rPr>
          <w:rFonts w:ascii="Times New Roman" w:hAnsi="Times New Roman"/>
          <w:sz w:val="26"/>
          <w:szCs w:val="26"/>
        </w:rPr>
        <w:t>202</w:t>
      </w:r>
      <w:r w:rsidR="00B320DA">
        <w:rPr>
          <w:rFonts w:ascii="Times New Roman" w:hAnsi="Times New Roman"/>
          <w:sz w:val="26"/>
          <w:szCs w:val="26"/>
        </w:rPr>
        <w:t xml:space="preserve">5 </w:t>
      </w:r>
      <w:r w:rsidR="00340263">
        <w:rPr>
          <w:rFonts w:ascii="Times New Roman" w:hAnsi="Times New Roman"/>
          <w:sz w:val="26"/>
          <w:szCs w:val="26"/>
        </w:rPr>
        <w:t>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EA740C">
        <w:rPr>
          <w:rFonts w:ascii="Times New Roman" w:hAnsi="Times New Roman"/>
          <w:b/>
          <w:sz w:val="24"/>
          <w:szCs w:val="24"/>
        </w:rPr>
        <w:t>0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содержание сети уличного освещения и на оплату коммунальных услуг за уличное освещение направлены денежные средства в размере </w:t>
      </w:r>
      <w:r w:rsidR="007B08DD">
        <w:rPr>
          <w:rFonts w:ascii="Times New Roman" w:hAnsi="Times New Roman"/>
          <w:sz w:val="26"/>
          <w:szCs w:val="26"/>
        </w:rPr>
        <w:t>43708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37767B" w:rsidRPr="0037767B">
        <w:rPr>
          <w:rFonts w:ascii="Times New Roman" w:hAnsi="Times New Roman"/>
          <w:sz w:val="26"/>
          <w:szCs w:val="26"/>
        </w:rPr>
        <w:t>аренду опор  ЛЭП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282BB7">
        <w:rPr>
          <w:rFonts w:ascii="Times New Roman" w:hAnsi="Times New Roman"/>
          <w:sz w:val="26"/>
          <w:szCs w:val="26"/>
        </w:rPr>
        <w:t xml:space="preserve">1 кв. </w:t>
      </w:r>
      <w:r w:rsidR="00B320DA">
        <w:rPr>
          <w:rFonts w:ascii="Times New Roman" w:hAnsi="Times New Roman"/>
          <w:sz w:val="26"/>
          <w:szCs w:val="26"/>
        </w:rPr>
        <w:t>2025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B320DA">
        <w:rPr>
          <w:rFonts w:ascii="Times New Roman" w:hAnsi="Times New Roman"/>
          <w:sz w:val="26"/>
          <w:szCs w:val="26"/>
          <w:shd w:val="clear" w:color="auto" w:fill="FFFFFF"/>
        </w:rPr>
        <w:t>2025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0A46BE" w:rsidRPr="00203EA7">
        <w:rPr>
          <w:rFonts w:ascii="Times New Roman" w:hAnsi="Times New Roman"/>
          <w:sz w:val="26"/>
          <w:szCs w:val="26"/>
          <w:shd w:val="clear" w:color="auto" w:fill="FFFFFF"/>
        </w:rPr>
        <w:t>Песчанском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Р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2025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2025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2025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340263">
        <w:rPr>
          <w:rFonts w:ascii="Times New Roman" w:hAnsi="Times New Roman"/>
          <w:b/>
          <w:sz w:val="26"/>
          <w:szCs w:val="26"/>
        </w:rPr>
        <w:t>1</w:t>
      </w:r>
      <w:r w:rsidR="00675FE2">
        <w:rPr>
          <w:rFonts w:ascii="Times New Roman" w:hAnsi="Times New Roman"/>
          <w:b/>
          <w:sz w:val="26"/>
          <w:szCs w:val="26"/>
        </w:rPr>
        <w:t xml:space="preserve">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kern w:val="2"/>
          <w:sz w:val="26"/>
          <w:szCs w:val="26"/>
        </w:rPr>
        <w:t>2025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B320DA">
        <w:rPr>
          <w:rFonts w:ascii="Times New Roman" w:hAnsi="Times New Roman"/>
          <w:kern w:val="2"/>
          <w:sz w:val="26"/>
          <w:szCs w:val="26"/>
        </w:rPr>
        <w:t>2025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7B08DD">
        <w:rPr>
          <w:rFonts w:ascii="Times New Roman" w:hAnsi="Times New Roman"/>
          <w:kern w:val="2"/>
          <w:sz w:val="26"/>
          <w:szCs w:val="26"/>
        </w:rPr>
        <w:t>20</w:t>
      </w:r>
      <w:r w:rsidR="00F83A53">
        <w:rPr>
          <w:rFonts w:ascii="Times New Roman" w:hAnsi="Times New Roman"/>
          <w:kern w:val="2"/>
          <w:sz w:val="26"/>
          <w:szCs w:val="26"/>
        </w:rPr>
        <w:t>0000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7B08DD">
        <w:rPr>
          <w:rFonts w:ascii="Times New Roman" w:hAnsi="Times New Roman"/>
          <w:kern w:val="2"/>
          <w:sz w:val="26"/>
          <w:szCs w:val="26"/>
        </w:rPr>
        <w:t>20</w:t>
      </w:r>
      <w:r w:rsidR="00F83A53">
        <w:rPr>
          <w:rFonts w:ascii="Times New Roman" w:hAnsi="Times New Roman"/>
          <w:kern w:val="2"/>
          <w:sz w:val="26"/>
          <w:szCs w:val="26"/>
        </w:rPr>
        <w:t>0000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7B08DD">
        <w:rPr>
          <w:rFonts w:ascii="Times New Roman" w:hAnsi="Times New Roman"/>
          <w:kern w:val="2"/>
          <w:sz w:val="26"/>
          <w:szCs w:val="26"/>
        </w:rPr>
        <w:t>43708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F83A53">
        <w:rPr>
          <w:rFonts w:ascii="Times New Roman" w:hAnsi="Times New Roman"/>
          <w:kern w:val="2"/>
          <w:sz w:val="26"/>
          <w:szCs w:val="26"/>
        </w:rPr>
        <w:t>00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7B08DD">
        <w:rPr>
          <w:rFonts w:ascii="Times New Roman" w:hAnsi="Times New Roman"/>
          <w:kern w:val="2"/>
          <w:sz w:val="26"/>
          <w:szCs w:val="26"/>
        </w:rPr>
        <w:t>43708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F83A53">
        <w:rPr>
          <w:rFonts w:ascii="Times New Roman" w:hAnsi="Times New Roman"/>
          <w:kern w:val="2"/>
          <w:sz w:val="26"/>
          <w:szCs w:val="26"/>
        </w:rPr>
        <w:t>00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7B08DD">
        <w:rPr>
          <w:rFonts w:ascii="Times New Roman" w:hAnsi="Times New Roman"/>
          <w:kern w:val="2"/>
          <w:sz w:val="26"/>
          <w:szCs w:val="26"/>
        </w:rPr>
        <w:t>21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7B08DD">
        <w:rPr>
          <w:rFonts w:ascii="Times New Roman" w:hAnsi="Times New Roman"/>
          <w:sz w:val="26"/>
          <w:szCs w:val="26"/>
        </w:rPr>
        <w:t>156292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F83A53">
        <w:rPr>
          <w:rFonts w:ascii="Times New Roman" w:hAnsi="Times New Roman"/>
          <w:sz w:val="26"/>
          <w:szCs w:val="26"/>
        </w:rPr>
        <w:t>00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E12163">
        <w:rPr>
          <w:rFonts w:ascii="Times New Roman" w:hAnsi="Times New Roman"/>
          <w:sz w:val="26"/>
          <w:szCs w:val="26"/>
        </w:rPr>
        <w:t>156292</w:t>
      </w:r>
      <w:r w:rsidR="00FB2089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рублей </w:t>
      </w:r>
      <w:r w:rsidR="00F83A53">
        <w:rPr>
          <w:rFonts w:ascii="Times New Roman" w:hAnsi="Times New Roman"/>
          <w:sz w:val="26"/>
          <w:szCs w:val="26"/>
        </w:rPr>
        <w:t>00</w:t>
      </w:r>
      <w:r w:rsidR="006501CF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коп.,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004D86">
        <w:rPr>
          <w:rFonts w:ascii="Times New Roman" w:hAnsi="Times New Roman"/>
          <w:b/>
          <w:sz w:val="26"/>
          <w:szCs w:val="26"/>
        </w:rPr>
        <w:t>Песчанского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340263">
        <w:rPr>
          <w:rFonts w:ascii="Times New Roman" w:hAnsi="Times New Roman"/>
          <w:b/>
          <w:sz w:val="26"/>
          <w:szCs w:val="26"/>
        </w:rPr>
        <w:t>1</w:t>
      </w:r>
      <w:r w:rsidR="00675FE2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1 кв.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671760">
        <w:rPr>
          <w:rFonts w:ascii="Times New Roman" w:hAnsi="Times New Roman"/>
          <w:kern w:val="2"/>
          <w:sz w:val="26"/>
          <w:szCs w:val="26"/>
        </w:rPr>
        <w:t>5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282BB7">
        <w:rPr>
          <w:rFonts w:ascii="Times New Roman" w:hAnsi="Times New Roman"/>
          <w:sz w:val="26"/>
          <w:szCs w:val="26"/>
        </w:rPr>
        <w:t xml:space="preserve">1 кв. </w:t>
      </w:r>
      <w:r w:rsidR="00B320DA">
        <w:rPr>
          <w:rFonts w:ascii="Times New Roman" w:hAnsi="Times New Roman"/>
          <w:sz w:val="26"/>
          <w:szCs w:val="26"/>
        </w:rPr>
        <w:t>2025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eastAsia="Courier New" w:hAnsi="Times New Roman"/>
          <w:b/>
          <w:sz w:val="26"/>
          <w:szCs w:val="26"/>
        </w:rPr>
        <w:t>2025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671760">
        <w:rPr>
          <w:rFonts w:ascii="Times New Roman" w:hAnsi="Times New Roman" w:cs="Times New Roman"/>
          <w:b/>
          <w:sz w:val="28"/>
          <w:szCs w:val="28"/>
        </w:rPr>
        <w:t>2025-2027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5C3A3A">
        <w:rPr>
          <w:rFonts w:ascii="Times New Roman" w:hAnsi="Times New Roman"/>
          <w:b/>
          <w:sz w:val="26"/>
          <w:szCs w:val="26"/>
        </w:rPr>
        <w:t xml:space="preserve">1 </w:t>
      </w:r>
      <w:r w:rsidR="00675FE2">
        <w:rPr>
          <w:rFonts w:ascii="Times New Roman" w:hAnsi="Times New Roman"/>
          <w:b/>
          <w:sz w:val="26"/>
          <w:szCs w:val="26"/>
        </w:rPr>
        <w:t>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B320DA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5C3A3A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20DA">
              <w:rPr>
                <w:rFonts w:ascii="Times New Roman" w:hAnsi="Times New Roman"/>
                <w:b/>
                <w:sz w:val="26"/>
                <w:szCs w:val="26"/>
              </w:rPr>
              <w:t>2025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E12163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B320DA">
        <w:rPr>
          <w:rFonts w:ascii="Times New Roman" w:eastAsia="Courier New" w:hAnsi="Times New Roman"/>
          <w:b/>
          <w:sz w:val="26"/>
          <w:szCs w:val="26"/>
        </w:rPr>
        <w:t>2025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671760">
        <w:rPr>
          <w:rFonts w:ascii="Times New Roman" w:hAnsi="Times New Roman" w:cs="Times New Roman"/>
          <w:b/>
        </w:rPr>
        <w:t>2025-2027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282BB7">
        <w:rPr>
          <w:rFonts w:ascii="Times New Roman" w:eastAsia="Courier New" w:hAnsi="Times New Roman" w:cs="Times New Roman"/>
          <w:b/>
        </w:rPr>
        <w:t xml:space="preserve">1 кв. </w:t>
      </w:r>
      <w:r w:rsidR="00B320DA">
        <w:rPr>
          <w:rFonts w:ascii="Times New Roman" w:eastAsia="Courier New" w:hAnsi="Times New Roman" w:cs="Times New Roman"/>
          <w:b/>
        </w:rPr>
        <w:t>2025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671760">
        <w:rPr>
          <w:rFonts w:ascii="Times New Roman" w:hAnsi="Times New Roman" w:cs="Times New Roman"/>
          <w:b/>
        </w:rPr>
        <w:t>2025-2027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282BB7">
        <w:rPr>
          <w:rFonts w:ascii="Times New Roman" w:eastAsia="Courier New" w:hAnsi="Times New Roman" w:cs="Times New Roman"/>
          <w:b/>
        </w:rPr>
        <w:t xml:space="preserve">1 кв. </w:t>
      </w:r>
      <w:r w:rsidR="00B320DA">
        <w:rPr>
          <w:rFonts w:ascii="Times New Roman" w:eastAsia="Courier New" w:hAnsi="Times New Roman" w:cs="Times New Roman"/>
          <w:b/>
        </w:rPr>
        <w:t>2025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5C3A3A">
        <w:rPr>
          <w:rFonts w:ascii="Times New Roman" w:hAnsi="Times New Roman" w:cs="Times New Roman"/>
        </w:rPr>
        <w:t>1</w:t>
      </w:r>
      <w:r w:rsidR="00675FE2">
        <w:rPr>
          <w:rFonts w:ascii="Times New Roman" w:hAnsi="Times New Roman" w:cs="Times New Roman"/>
        </w:rPr>
        <w:t xml:space="preserve"> кв.</w:t>
      </w:r>
      <w:r w:rsidR="007C297D">
        <w:rPr>
          <w:rFonts w:ascii="Times New Roman" w:hAnsi="Times New Roman" w:cs="Times New Roman"/>
        </w:rPr>
        <w:t xml:space="preserve"> </w:t>
      </w:r>
      <w:r w:rsidR="00B320DA">
        <w:rPr>
          <w:rFonts w:ascii="Times New Roman" w:hAnsi="Times New Roman" w:cs="Times New Roman"/>
        </w:rPr>
        <w:t>2025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273CC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671760">
              <w:rPr>
                <w:rFonts w:ascii="Times New Roman" w:hAnsi="Times New Roman" w:cs="Times New Roman"/>
                <w:b/>
                <w:sz w:val="20"/>
                <w:szCs w:val="20"/>
              </w:rPr>
              <w:t>2025-2027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1 кв. </w:t>
            </w:r>
            <w:r w:rsidR="00B320DA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2025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273CC" w:rsidRPr="00203EA7" w:rsidRDefault="007273CC" w:rsidP="00B748DB">
            <w:pPr>
              <w:rPr>
                <w:sz w:val="20"/>
                <w:szCs w:val="20"/>
                <w:lang w:eastAsia="ru-RU"/>
              </w:rPr>
            </w:pPr>
          </w:p>
          <w:p w:rsidR="007273CC" w:rsidRPr="00203EA7" w:rsidRDefault="007273CC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E1216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21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E1216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21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E1216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5F8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E12163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E12163" w:rsidP="00187A8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F6BD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E12163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0C03E5" w:rsidRPr="00A907E0">
        <w:rPr>
          <w:rFonts w:ascii="Times New Roman" w:eastAsia="Times New Roman" w:hAnsi="Times New Roman"/>
          <w:b/>
          <w:sz w:val="20"/>
          <w:szCs w:val="20"/>
        </w:rPr>
        <w:t>Песчанского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0"/>
          <w:szCs w:val="20"/>
        </w:rPr>
        <w:t>2025-2027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0B32E6" w:rsidRPr="00A907E0">
        <w:rPr>
          <w:rFonts w:ascii="Times New Roman" w:hAnsi="Times New Roman"/>
          <w:b/>
          <w:sz w:val="20"/>
          <w:szCs w:val="20"/>
        </w:rPr>
        <w:t>1</w:t>
      </w:r>
      <w:r w:rsidR="00675FE2" w:rsidRPr="00A907E0">
        <w:rPr>
          <w:rFonts w:ascii="Times New Roman" w:hAnsi="Times New Roman"/>
          <w:b/>
          <w:sz w:val="20"/>
          <w:szCs w:val="20"/>
        </w:rPr>
        <w:t xml:space="preserve">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B320DA">
        <w:rPr>
          <w:rFonts w:ascii="Times New Roman" w:hAnsi="Times New Roman"/>
          <w:b/>
          <w:sz w:val="20"/>
          <w:szCs w:val="20"/>
        </w:rPr>
        <w:t>2025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2"/>
          <w:szCs w:val="22"/>
        </w:rPr>
        <w:t>Песчанского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hAnsi="Times New Roman" w:cs="Times New Roman"/>
          <w:b/>
          <w:sz w:val="22"/>
          <w:szCs w:val="22"/>
        </w:rPr>
        <w:t>2025-2027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1 кв. </w:t>
      </w:r>
      <w:r w:rsidR="00B320DA">
        <w:rPr>
          <w:rFonts w:ascii="Times New Roman" w:eastAsia="Courier New" w:hAnsi="Times New Roman" w:cs="Times New Roman"/>
          <w:b/>
          <w:sz w:val="22"/>
          <w:szCs w:val="22"/>
        </w:rPr>
        <w:t>2025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671760">
              <w:rPr>
                <w:rFonts w:ascii="Times New Roman" w:hAnsi="Times New Roman" w:cs="Times New Roman"/>
                <w:b/>
                <w:sz w:val="22"/>
                <w:szCs w:val="22"/>
              </w:rPr>
              <w:t>2025-2027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1 кв. </w:t>
            </w:r>
            <w:r w:rsidR="00B320DA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2025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E12163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7AA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E12163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43,708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E12163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7AA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E12163" w:rsidP="00E1216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43,708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E12163" w:rsidP="00CA4E9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7AA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E12163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43,708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E12163" w:rsidP="00CA4E9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7AA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E12163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43,708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53" w:rsidRDefault="007C4F53">
      <w:pPr>
        <w:spacing w:after="0" w:line="240" w:lineRule="auto"/>
      </w:pPr>
      <w:r>
        <w:separator/>
      </w:r>
    </w:p>
  </w:endnote>
  <w:endnote w:type="continuationSeparator" w:id="1">
    <w:p w:rsidR="007C4F53" w:rsidRDefault="007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53" w:rsidRDefault="007C4F53">
      <w:pPr>
        <w:spacing w:after="0" w:line="240" w:lineRule="auto"/>
      </w:pPr>
      <w:r>
        <w:separator/>
      </w:r>
    </w:p>
  </w:footnote>
  <w:footnote w:type="continuationSeparator" w:id="1">
    <w:p w:rsidR="007C4F53" w:rsidRDefault="007C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C5463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D5575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7B0A"/>
    <w:rsid w:val="005919D0"/>
    <w:rsid w:val="00592A82"/>
    <w:rsid w:val="005A1F63"/>
    <w:rsid w:val="005A49BC"/>
    <w:rsid w:val="005B47EC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31AD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1760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08DD"/>
    <w:rsid w:val="007B1297"/>
    <w:rsid w:val="007B1F6E"/>
    <w:rsid w:val="007B395C"/>
    <w:rsid w:val="007B7D82"/>
    <w:rsid w:val="007C1D29"/>
    <w:rsid w:val="007C297D"/>
    <w:rsid w:val="007C3B1E"/>
    <w:rsid w:val="007C4F53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320DA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2163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15975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67</cp:revision>
  <cp:lastPrinted>2020-03-04T12:49:00Z</cp:lastPrinted>
  <dcterms:created xsi:type="dcterms:W3CDTF">2020-03-04T09:52:00Z</dcterms:created>
  <dcterms:modified xsi:type="dcterms:W3CDTF">2025-04-01T10:37:00Z</dcterms:modified>
</cp:coreProperties>
</file>