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8141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3E2629" w:rsidRDefault="00B559B2" w:rsidP="0081417E">
      <w:pPr>
        <w:spacing w:line="270" w:lineRule="atLeast"/>
        <w:jc w:val="center"/>
        <w:rPr>
          <w:rFonts w:ascii="Times New Roman" w:eastAsia="Courier New" w:hAnsi="Times New Roman"/>
          <w:b/>
          <w:sz w:val="28"/>
          <w:szCs w:val="28"/>
        </w:rPr>
      </w:pPr>
      <w:r w:rsidRPr="003E2629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  <w:r w:rsidR="00FC3B0C" w:rsidRPr="003E2629">
        <w:rPr>
          <w:rFonts w:ascii="Times New Roman" w:hAnsi="Times New Roman"/>
          <w:b/>
          <w:sz w:val="28"/>
          <w:szCs w:val="28"/>
        </w:rPr>
        <w:t>«</w:t>
      </w:r>
      <w:r w:rsidR="003E2629" w:rsidRPr="003E2629">
        <w:rPr>
          <w:rFonts w:ascii="Times New Roman" w:hAnsi="Times New Roman"/>
          <w:b/>
          <w:sz w:val="28"/>
          <w:szCs w:val="28"/>
        </w:rPr>
        <w:t>Выполнение работ по установке водонапорной башни Рожновского в с. Каменка, ул. Школьная 1 А/1 Самойловского района Саратовской области</w:t>
      </w:r>
      <w:r w:rsidRPr="003E2629">
        <w:rPr>
          <w:rFonts w:ascii="Times New Roman" w:eastAsia="Courier New" w:hAnsi="Times New Roman"/>
          <w:b/>
          <w:sz w:val="28"/>
          <w:szCs w:val="28"/>
        </w:rPr>
        <w:t xml:space="preserve">» за </w:t>
      </w:r>
      <w:r w:rsidR="00127EE5" w:rsidRPr="003E2629">
        <w:rPr>
          <w:rFonts w:ascii="Times New Roman" w:eastAsia="Courier New" w:hAnsi="Times New Roman"/>
          <w:b/>
          <w:sz w:val="28"/>
          <w:szCs w:val="28"/>
        </w:rPr>
        <w:t xml:space="preserve">период </w:t>
      </w:r>
      <w:r w:rsidR="001124E4" w:rsidRPr="003E2629">
        <w:rPr>
          <w:rFonts w:ascii="Times New Roman" w:eastAsia="Courier New" w:hAnsi="Times New Roman"/>
          <w:b/>
          <w:sz w:val="28"/>
          <w:szCs w:val="28"/>
        </w:rPr>
        <w:t>3 кв.</w:t>
      </w:r>
      <w:r w:rsidR="00282BB7" w:rsidRPr="003E2629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A740C" w:rsidRPr="003E2629">
        <w:rPr>
          <w:rFonts w:ascii="Times New Roman" w:eastAsia="Courier New" w:hAnsi="Times New Roman"/>
          <w:b/>
          <w:sz w:val="28"/>
          <w:szCs w:val="28"/>
        </w:rPr>
        <w:t>2024 г</w:t>
      </w:r>
      <w:r w:rsidR="00340263" w:rsidRPr="003E2629">
        <w:rPr>
          <w:rFonts w:ascii="Times New Roman" w:eastAsia="Courier New" w:hAnsi="Times New Roman"/>
          <w:b/>
          <w:sz w:val="28"/>
          <w:szCs w:val="28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CF7DCB" w:rsidRPr="00CF7DCB">
        <w:rPr>
          <w:rFonts w:ascii="Times New Roman" w:hAnsi="Times New Roman"/>
          <w:sz w:val="28"/>
          <w:szCs w:val="28"/>
        </w:rPr>
        <w:t>Выполнение работ по установке водонапорной башни Рожновского в с. Каменка, ул. Школьная 1 А/1 Самойловского района Саратовской области</w:t>
      </w:r>
      <w:r w:rsidR="00CF7DCB" w:rsidRPr="00CF7DCB">
        <w:rPr>
          <w:rFonts w:ascii="Times New Roman" w:eastAsia="Courier New" w:hAnsi="Times New Roman"/>
          <w:sz w:val="28"/>
          <w:szCs w:val="28"/>
        </w:rPr>
        <w:t>»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3E2629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2629">
        <w:rPr>
          <w:rFonts w:ascii="Times New Roman" w:hAnsi="Times New Roman"/>
          <w:sz w:val="26"/>
          <w:szCs w:val="26"/>
        </w:rPr>
        <w:t xml:space="preserve">В </w:t>
      </w:r>
      <w:r w:rsidR="001124E4" w:rsidRPr="003E2629">
        <w:rPr>
          <w:rFonts w:ascii="Times New Roman" w:hAnsi="Times New Roman"/>
          <w:sz w:val="26"/>
          <w:szCs w:val="26"/>
        </w:rPr>
        <w:t>3 кв.</w:t>
      </w:r>
      <w:r w:rsidR="00282BB7" w:rsidRPr="003E2629">
        <w:rPr>
          <w:rFonts w:ascii="Times New Roman" w:hAnsi="Times New Roman"/>
          <w:sz w:val="26"/>
          <w:szCs w:val="26"/>
        </w:rPr>
        <w:t xml:space="preserve"> </w:t>
      </w:r>
      <w:r w:rsidR="00505015" w:rsidRPr="003E2629">
        <w:rPr>
          <w:rFonts w:ascii="Times New Roman" w:hAnsi="Times New Roman"/>
          <w:sz w:val="26"/>
          <w:szCs w:val="26"/>
        </w:rPr>
        <w:t>202</w:t>
      </w:r>
      <w:r w:rsidR="00EA740C" w:rsidRPr="003E2629">
        <w:rPr>
          <w:rFonts w:ascii="Times New Roman" w:hAnsi="Times New Roman"/>
          <w:sz w:val="26"/>
          <w:szCs w:val="26"/>
        </w:rPr>
        <w:t>4</w:t>
      </w:r>
      <w:r w:rsidR="00340263" w:rsidRPr="003E2629">
        <w:rPr>
          <w:rFonts w:ascii="Times New Roman" w:hAnsi="Times New Roman"/>
          <w:sz w:val="26"/>
          <w:szCs w:val="26"/>
        </w:rPr>
        <w:t xml:space="preserve">  г.</w:t>
      </w:r>
      <w:r w:rsidRPr="003E2629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3E2629" w:rsidRPr="003E2629" w:rsidRDefault="003E2629" w:rsidP="003E26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629">
        <w:rPr>
          <w:rFonts w:ascii="Times New Roman" w:hAnsi="Times New Roman"/>
          <w:color w:val="000000"/>
          <w:sz w:val="26"/>
          <w:szCs w:val="26"/>
          <w:lang w:eastAsia="ru-RU"/>
        </w:rPr>
        <w:t>- население с.Каменка обеспечено питьевой водой нормативного качества и в достаточном количестве;</w:t>
      </w:r>
    </w:p>
    <w:p w:rsidR="003E2629" w:rsidRPr="003E2629" w:rsidRDefault="003E2629" w:rsidP="003E26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E2629">
        <w:rPr>
          <w:rFonts w:ascii="Times New Roman" w:hAnsi="Times New Roman"/>
          <w:color w:val="000000"/>
          <w:sz w:val="26"/>
          <w:szCs w:val="26"/>
          <w:lang w:eastAsia="ru-RU"/>
        </w:rPr>
        <w:t>-повышена эффективность, устойчивость и надежность функционирования систем водообеспечения населения;</w:t>
      </w:r>
    </w:p>
    <w:p w:rsidR="003E2629" w:rsidRPr="003E2629" w:rsidRDefault="003E2629" w:rsidP="003E2629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E2629">
        <w:rPr>
          <w:rFonts w:ascii="Times New Roman" w:hAnsi="Times New Roman"/>
          <w:color w:val="000000"/>
          <w:sz w:val="26"/>
          <w:szCs w:val="26"/>
          <w:lang w:eastAsia="ru-RU"/>
        </w:rPr>
        <w:t>повышено качество воды источников питьевого водоснабжения.</w:t>
      </w:r>
      <w:r w:rsidR="00B559B2" w:rsidRPr="003E2629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37767B" w:rsidRDefault="00B559B2" w:rsidP="003E2629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3E2629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E2629">
        <w:rPr>
          <w:rFonts w:ascii="Times New Roman" w:hAnsi="Times New Roman"/>
          <w:sz w:val="26"/>
          <w:szCs w:val="26"/>
        </w:rPr>
        <w:t>-</w:t>
      </w:r>
      <w:r w:rsidR="003E2629">
        <w:rPr>
          <w:rFonts w:ascii="Times New Roman" w:hAnsi="Times New Roman"/>
          <w:b/>
          <w:sz w:val="26"/>
          <w:szCs w:val="26"/>
        </w:rPr>
        <w:t>15</w:t>
      </w:r>
      <w:r w:rsidR="007E2FDA">
        <w:rPr>
          <w:rFonts w:ascii="Times New Roman" w:hAnsi="Times New Roman"/>
          <w:b/>
          <w:sz w:val="26"/>
          <w:szCs w:val="26"/>
        </w:rPr>
        <w:t>55</w:t>
      </w:r>
      <w:r w:rsidR="003E2629">
        <w:rPr>
          <w:rFonts w:ascii="Times New Roman" w:hAnsi="Times New Roman"/>
          <w:b/>
          <w:sz w:val="26"/>
          <w:szCs w:val="26"/>
        </w:rPr>
        <w:t>000</w:t>
      </w:r>
      <w:r w:rsidR="00026E6E" w:rsidRPr="003E2629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E2629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E2629">
        <w:rPr>
          <w:rFonts w:ascii="Times New Roman" w:hAnsi="Times New Roman"/>
          <w:sz w:val="26"/>
          <w:szCs w:val="26"/>
        </w:rPr>
        <w:t xml:space="preserve"> коп</w:t>
      </w:r>
      <w:r w:rsidR="00D06E8F" w:rsidRPr="0037767B">
        <w:rPr>
          <w:rFonts w:ascii="Times New Roman" w:hAnsi="Times New Roman"/>
          <w:sz w:val="26"/>
          <w:szCs w:val="26"/>
        </w:rPr>
        <w:t>.</w:t>
      </w:r>
    </w:p>
    <w:p w:rsidR="00026E6E" w:rsidRPr="005C3398" w:rsidRDefault="00026E6E" w:rsidP="005C3398">
      <w:pPr>
        <w:pStyle w:val="afff9"/>
        <w:jc w:val="left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="005C3398" w:rsidRPr="005C3398">
        <w:rPr>
          <w:rFonts w:ascii="Times New Roman" w:hAnsi="Times New Roman"/>
          <w:sz w:val="26"/>
          <w:szCs w:val="26"/>
        </w:rPr>
        <w:t>Проведены следующие мероприятия:</w:t>
      </w:r>
    </w:p>
    <w:p w:rsidR="005C3398" w:rsidRPr="005C3398" w:rsidRDefault="005C3398" w:rsidP="005C3398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5C3398">
        <w:rPr>
          <w:rFonts w:ascii="Times New Roman" w:hAnsi="Times New Roman"/>
          <w:sz w:val="26"/>
          <w:szCs w:val="26"/>
          <w:lang w:eastAsia="ru-RU"/>
        </w:rPr>
        <w:t>-</w:t>
      </w:r>
      <w:r w:rsidRPr="005C3398">
        <w:rPr>
          <w:rFonts w:ascii="Times New Roman" w:hAnsi="Times New Roman"/>
          <w:bCs/>
          <w:sz w:val="26"/>
          <w:szCs w:val="26"/>
          <w:lang w:eastAsia="ru-RU"/>
        </w:rPr>
        <w:t xml:space="preserve"> Экспертиза сметной Документации- 25000, руб 00 коп.</w:t>
      </w:r>
    </w:p>
    <w:p w:rsidR="005C3398" w:rsidRPr="005C3398" w:rsidRDefault="005C3398" w:rsidP="005C3398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3398">
        <w:rPr>
          <w:rFonts w:ascii="Times New Roman" w:hAnsi="Times New Roman"/>
          <w:bCs/>
          <w:sz w:val="26"/>
          <w:szCs w:val="26"/>
          <w:lang w:eastAsia="ru-RU"/>
        </w:rPr>
        <w:t>-</w:t>
      </w:r>
      <w:r w:rsidRPr="005C3398">
        <w:rPr>
          <w:rFonts w:ascii="Times New Roman" w:hAnsi="Times New Roman"/>
          <w:sz w:val="26"/>
          <w:szCs w:val="26"/>
          <w:lang w:eastAsia="ru-RU"/>
        </w:rPr>
        <w:t xml:space="preserve"> Выполнение работ по установке водонапорной башни Рожновского в с.Каменка ул.Школьная 1 А/1 Самойловского района Саратовской области- 1500000 руб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5C3398">
        <w:rPr>
          <w:rFonts w:ascii="Times New Roman" w:hAnsi="Times New Roman"/>
          <w:sz w:val="26"/>
          <w:szCs w:val="26"/>
          <w:lang w:eastAsia="ru-RU"/>
        </w:rPr>
        <w:t xml:space="preserve"> 00 коп.</w:t>
      </w:r>
    </w:p>
    <w:p w:rsidR="005C3398" w:rsidRPr="004B332D" w:rsidRDefault="005C3398" w:rsidP="005C3398">
      <w:pPr>
        <w:shd w:val="clear" w:color="auto" w:fill="FFFFFF"/>
        <w:spacing w:after="0" w:line="240" w:lineRule="auto"/>
        <w:rPr>
          <w:lang w:eastAsia="ru-RU"/>
        </w:rPr>
      </w:pPr>
      <w:r w:rsidRPr="005C3398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C3398">
        <w:rPr>
          <w:rFonts w:ascii="Times New Roman" w:hAnsi="Times New Roman"/>
          <w:sz w:val="26"/>
          <w:szCs w:val="26"/>
          <w:lang w:eastAsia="ru-RU"/>
        </w:rPr>
        <w:t>Оказание услуг строительно -технической экспертизы по установке водонапорной башни Рожновского в с.Каменка ул.Школьная 1 А/1 Самойловского района Саратовской области-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C3398">
        <w:rPr>
          <w:rFonts w:ascii="Times New Roman" w:hAnsi="Times New Roman"/>
          <w:sz w:val="26"/>
          <w:szCs w:val="26"/>
          <w:lang w:eastAsia="ru-RU"/>
        </w:rPr>
        <w:t>30000 руб. 00 коп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5C3398" w:rsidRPr="005C3398" w:rsidRDefault="00B559B2" w:rsidP="005C3398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C3398">
        <w:rPr>
          <w:rFonts w:ascii="Times New Roman" w:hAnsi="Times New Roman"/>
          <w:sz w:val="26"/>
          <w:szCs w:val="26"/>
        </w:rPr>
        <w:t xml:space="preserve">         В рамках реализации Программы </w:t>
      </w:r>
      <w:r w:rsidR="005C3398" w:rsidRPr="005C33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проводилось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 и водоотведения, привлечение инвестиций в водопроводно-канализационное хозяйство муниципального образования, улучшение качества услуг с одновременным снижением затрат. Достижение основных целей Программы обеспечит возможность устойчивого развития водопроводно-канализационного хозяйства </w:t>
      </w:r>
      <w:r w:rsidR="00CF7DC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Песчанского МО </w:t>
      </w:r>
      <w:r w:rsidR="005C3398" w:rsidRPr="005C3398">
        <w:rPr>
          <w:rFonts w:ascii="Times New Roman" w:hAnsi="Times New Roman"/>
          <w:color w:val="000000"/>
          <w:sz w:val="26"/>
          <w:szCs w:val="26"/>
          <w:lang w:eastAsia="ru-RU"/>
        </w:rPr>
        <w:t>Самойловского муниципального  образования.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</w:t>
      </w:r>
      <w:r w:rsidR="005C3398">
        <w:rPr>
          <w:rFonts w:ascii="Times New Roman" w:hAnsi="Times New Roman"/>
          <w:sz w:val="26"/>
          <w:szCs w:val="26"/>
        </w:rPr>
        <w:t>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EA740C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5C3398">
        <w:rPr>
          <w:rFonts w:ascii="Times New Roman" w:hAnsi="Times New Roman"/>
          <w:kern w:val="2"/>
          <w:sz w:val="26"/>
          <w:szCs w:val="26"/>
        </w:rPr>
        <w:t>1555000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рублей, в том числе за счет средств:</w:t>
      </w:r>
    </w:p>
    <w:p w:rsidR="00B559B2" w:rsidRPr="00203EA7" w:rsidRDefault="005C3398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Резервный фонд Губернатора Саратовской области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 xml:space="preserve"> –         </w:t>
      </w:r>
      <w:r>
        <w:rPr>
          <w:rFonts w:ascii="Times New Roman" w:hAnsi="Times New Roman"/>
          <w:kern w:val="2"/>
          <w:sz w:val="26"/>
          <w:szCs w:val="26"/>
        </w:rPr>
        <w:t>1500000 руб.00 коп.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5C3398">
        <w:rPr>
          <w:rFonts w:ascii="Times New Roman" w:hAnsi="Times New Roman"/>
          <w:kern w:val="2"/>
          <w:sz w:val="26"/>
          <w:szCs w:val="26"/>
        </w:rPr>
        <w:t>55000 руб 00 коп.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5C3398">
        <w:rPr>
          <w:rFonts w:ascii="Times New Roman" w:hAnsi="Times New Roman"/>
          <w:kern w:val="2"/>
          <w:sz w:val="26"/>
          <w:szCs w:val="26"/>
        </w:rPr>
        <w:t>1555000</w:t>
      </w:r>
      <w:r w:rsidR="00EB4F27">
        <w:rPr>
          <w:rFonts w:ascii="Times New Roman" w:hAnsi="Times New Roman"/>
          <w:kern w:val="2"/>
          <w:sz w:val="26"/>
          <w:szCs w:val="26"/>
        </w:rPr>
        <w:t xml:space="preserve"> 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5C3398">
        <w:rPr>
          <w:rFonts w:ascii="Times New Roman" w:hAnsi="Times New Roman"/>
          <w:kern w:val="2"/>
          <w:sz w:val="26"/>
          <w:szCs w:val="26"/>
        </w:rPr>
        <w:t>00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оп. 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5C3398" w:rsidRPr="00203EA7" w:rsidRDefault="005C3398" w:rsidP="005C3398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Резервный фонд Губернатора Саратовской области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–         </w:t>
      </w:r>
      <w:r>
        <w:rPr>
          <w:rFonts w:ascii="Times New Roman" w:hAnsi="Times New Roman"/>
          <w:kern w:val="2"/>
          <w:sz w:val="26"/>
          <w:szCs w:val="26"/>
        </w:rPr>
        <w:t>1500000 руб.00 коп.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5C3398" w:rsidRPr="00203EA7" w:rsidRDefault="005C3398" w:rsidP="005C3398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областного бюджета     -  0,0 тыс. рублей;</w:t>
      </w:r>
    </w:p>
    <w:p w:rsidR="005C3398" w:rsidRPr="00203EA7" w:rsidRDefault="005C3398" w:rsidP="005C3398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местного бюджета –        55000 руб 00 коп.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5C3398" w:rsidRPr="00F07EB0" w:rsidRDefault="005C3398" w:rsidP="005C3398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5C3398">
        <w:rPr>
          <w:rFonts w:ascii="Times New Roman" w:hAnsi="Times New Roman"/>
          <w:kern w:val="2"/>
          <w:sz w:val="26"/>
          <w:szCs w:val="26"/>
        </w:rPr>
        <w:t>100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970BD1" w:rsidRPr="001E1AE2" w:rsidRDefault="00B559B2" w:rsidP="005C3398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5C3398">
        <w:rPr>
          <w:rFonts w:ascii="Times New Roman" w:hAnsi="Times New Roman"/>
          <w:sz w:val="26"/>
          <w:szCs w:val="26"/>
        </w:rPr>
        <w:t>0</w:t>
      </w:r>
      <w:r w:rsidR="00EB4F27">
        <w:rPr>
          <w:rFonts w:ascii="Times New Roman" w:hAnsi="Times New Roman"/>
          <w:sz w:val="26"/>
          <w:szCs w:val="26"/>
        </w:rPr>
        <w:t xml:space="preserve"> </w:t>
      </w:r>
      <w:r w:rsidRPr="00F07EB0">
        <w:rPr>
          <w:rFonts w:ascii="Times New Roman" w:hAnsi="Times New Roman"/>
          <w:sz w:val="26"/>
          <w:szCs w:val="26"/>
        </w:rPr>
        <w:t>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5C3398">
        <w:rPr>
          <w:rFonts w:ascii="Times New Roman" w:hAnsi="Times New Roman"/>
          <w:sz w:val="26"/>
          <w:szCs w:val="26"/>
        </w:rPr>
        <w:t>00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5C3398" w:rsidRPr="005C3398">
        <w:rPr>
          <w:rFonts w:ascii="Times New Roman" w:hAnsi="Times New Roman"/>
          <w:b/>
          <w:sz w:val="28"/>
          <w:szCs w:val="28"/>
        </w:rPr>
        <w:t xml:space="preserve"> </w:t>
      </w:r>
      <w:r w:rsidR="005C3398" w:rsidRPr="003E2629">
        <w:rPr>
          <w:rFonts w:ascii="Times New Roman" w:hAnsi="Times New Roman"/>
          <w:b/>
          <w:sz w:val="28"/>
          <w:szCs w:val="28"/>
        </w:rPr>
        <w:t>Выполнение работ по установке водонапорной башни Рожновского в с. Каменка, ул. Школьная 1 А/1 Самойловского района Саратовской области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доля бюджетных средств, направленных на </w:t>
      </w:r>
      <w:r w:rsidR="00D85972">
        <w:rPr>
          <w:rFonts w:ascii="Times New Roman" w:hAnsi="Times New Roman"/>
          <w:kern w:val="2"/>
          <w:sz w:val="26"/>
          <w:szCs w:val="26"/>
        </w:rPr>
        <w:t xml:space="preserve">обеспечение бесперебойного водоснабжения </w:t>
      </w:r>
      <w:r w:rsidRPr="00203EA7">
        <w:rPr>
          <w:rFonts w:ascii="Times New Roman" w:hAnsi="Times New Roman"/>
          <w:kern w:val="2"/>
          <w:sz w:val="26"/>
          <w:szCs w:val="26"/>
        </w:rPr>
        <w:t>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</w:t>
      </w:r>
      <w:r w:rsidR="00CF7DCB">
        <w:rPr>
          <w:rFonts w:ascii="Times New Roman" w:hAnsi="Times New Roman"/>
          <w:sz w:val="26"/>
          <w:szCs w:val="26"/>
        </w:rPr>
        <w:t xml:space="preserve"> водонапорной башни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 w:rsidR="00CF7DCB">
        <w:rPr>
          <w:rFonts w:ascii="Times New Roman" w:hAnsi="Times New Roman"/>
          <w:sz w:val="26"/>
          <w:szCs w:val="26"/>
        </w:rPr>
        <w:t>в нормативное состояние: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 (</w:t>
      </w:r>
      <w:r w:rsidR="00D85972">
        <w:rPr>
          <w:rFonts w:ascii="Times New Roman" w:hAnsi="Times New Roman"/>
          <w:sz w:val="26"/>
          <w:szCs w:val="26"/>
        </w:rPr>
        <w:t>45</w:t>
      </w:r>
      <w:r w:rsidRPr="00203EA7">
        <w:rPr>
          <w:rFonts w:ascii="Times New Roman" w:hAnsi="Times New Roman"/>
          <w:sz w:val="26"/>
          <w:szCs w:val="26"/>
        </w:rPr>
        <w:t>%, 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1124E4">
        <w:rPr>
          <w:rFonts w:ascii="Times New Roman" w:hAnsi="Times New Roman"/>
          <w:kern w:val="2"/>
          <w:sz w:val="26"/>
          <w:szCs w:val="26"/>
        </w:rPr>
        <w:t>3 кв.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B93A19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1124E4">
        <w:rPr>
          <w:rFonts w:ascii="Times New Roman" w:hAnsi="Times New Roman"/>
          <w:sz w:val="26"/>
          <w:szCs w:val="26"/>
        </w:rPr>
        <w:t>3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lastRenderedPageBreak/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lastRenderedPageBreak/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5C3398">
        <w:rPr>
          <w:rFonts w:ascii="Times New Roman" w:hAnsi="Times New Roman"/>
          <w:b/>
          <w:sz w:val="26"/>
          <w:szCs w:val="26"/>
        </w:rPr>
        <w:t>«</w:t>
      </w:r>
      <w:r w:rsidR="005C3398" w:rsidRPr="003E2629">
        <w:rPr>
          <w:rFonts w:ascii="Times New Roman" w:hAnsi="Times New Roman"/>
          <w:b/>
          <w:sz w:val="28"/>
          <w:szCs w:val="28"/>
        </w:rPr>
        <w:t>Выполнение работ по установке водонапорной башни Рожновского в с. Каменка, ул. Школьная 1 А/1 Самойловского района Саратовской области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124E4">
        <w:rPr>
          <w:rFonts w:ascii="Times New Roman" w:eastAsia="Courier New" w:hAnsi="Times New Roman"/>
          <w:b/>
          <w:sz w:val="26"/>
          <w:szCs w:val="26"/>
        </w:rPr>
        <w:t>3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5C3398" w:rsidRPr="003E2629">
        <w:rPr>
          <w:rFonts w:ascii="Times New Roman" w:hAnsi="Times New Roman"/>
          <w:b/>
          <w:sz w:val="28"/>
          <w:szCs w:val="28"/>
        </w:rPr>
        <w:t>Выполнение работ по установке водонапорной башни</w:t>
      </w:r>
      <w:r w:rsidR="005C3398" w:rsidRPr="003E2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98" w:rsidRPr="003E2629">
        <w:rPr>
          <w:rFonts w:ascii="Times New Roman" w:hAnsi="Times New Roman"/>
          <w:b/>
          <w:sz w:val="28"/>
          <w:szCs w:val="28"/>
        </w:rPr>
        <w:t>Рожновского в с. Каменка, ул. Школьная 1 А/1 Самойловского района</w:t>
      </w:r>
      <w:r w:rsidR="005C3398" w:rsidRPr="003E2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98" w:rsidRPr="003E2629">
        <w:rPr>
          <w:rFonts w:ascii="Times New Roman" w:hAnsi="Times New Roman"/>
          <w:b/>
          <w:sz w:val="28"/>
          <w:szCs w:val="28"/>
        </w:rPr>
        <w:t>Саратовской области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1124E4">
        <w:rPr>
          <w:rFonts w:ascii="Times New Roman" w:hAnsi="Times New Roman"/>
          <w:b/>
          <w:sz w:val="26"/>
          <w:szCs w:val="26"/>
        </w:rPr>
        <w:t>3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EA740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1124E4">
              <w:rPr>
                <w:rFonts w:ascii="Times New Roman" w:hAnsi="Times New Roman"/>
                <w:b/>
                <w:sz w:val="26"/>
                <w:szCs w:val="26"/>
              </w:rPr>
              <w:t>3 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40C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5C3398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5C3398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5C3398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4"/>
          <w:szCs w:val="24"/>
        </w:rPr>
      </w:pPr>
      <w:r w:rsidRPr="005C3398">
        <w:rPr>
          <w:rStyle w:val="af7"/>
          <w:rFonts w:ascii="Times New Roman" w:hAnsi="Times New Roman"/>
          <w:color w:val="auto"/>
          <w:sz w:val="24"/>
          <w:szCs w:val="24"/>
        </w:rPr>
        <w:lastRenderedPageBreak/>
        <w:t>Приложение №</w:t>
      </w:r>
      <w:r w:rsidR="004F1C64" w:rsidRPr="005C3398">
        <w:rPr>
          <w:rStyle w:val="af7"/>
          <w:rFonts w:ascii="Times New Roman" w:hAnsi="Times New Roman"/>
          <w:color w:val="auto"/>
          <w:sz w:val="24"/>
          <w:szCs w:val="24"/>
        </w:rPr>
        <w:t>2 к отчету</w:t>
      </w:r>
      <w:r w:rsidR="003175FB" w:rsidRPr="005C3398">
        <w:rPr>
          <w:rStyle w:val="af7"/>
          <w:rFonts w:ascii="Times New Roman" w:hAnsi="Times New Roman"/>
          <w:color w:val="auto"/>
          <w:sz w:val="24"/>
          <w:szCs w:val="24"/>
        </w:rPr>
        <w:t xml:space="preserve"> о</w:t>
      </w:r>
      <w:r w:rsidR="003175FB" w:rsidRPr="005C3398">
        <w:rPr>
          <w:rFonts w:ascii="Times New Roman" w:hAnsi="Times New Roman"/>
          <w:b/>
          <w:sz w:val="24"/>
          <w:szCs w:val="24"/>
        </w:rPr>
        <w:t xml:space="preserve"> реализации муниципальной программы </w:t>
      </w:r>
      <w:r w:rsidR="005C3398" w:rsidRPr="005C3398">
        <w:rPr>
          <w:rFonts w:ascii="Times New Roman" w:hAnsi="Times New Roman"/>
          <w:b/>
          <w:sz w:val="24"/>
          <w:szCs w:val="24"/>
        </w:rPr>
        <w:t>Выполнение работ по установке водонапорной башни Рожновского в с. Каменка, ул. Школьная 1 А/1 Самойловского района Саратовской области</w:t>
      </w:r>
      <w:r w:rsidR="003175FB" w:rsidRPr="005C3398">
        <w:rPr>
          <w:rFonts w:ascii="Times New Roman" w:eastAsia="Courier New" w:hAnsi="Times New Roman"/>
          <w:b/>
          <w:sz w:val="24"/>
          <w:szCs w:val="24"/>
        </w:rPr>
        <w:t xml:space="preserve">» за период </w:t>
      </w:r>
      <w:r w:rsidR="001124E4" w:rsidRPr="005C3398">
        <w:rPr>
          <w:rFonts w:ascii="Times New Roman" w:eastAsia="Courier New" w:hAnsi="Times New Roman"/>
          <w:b/>
          <w:sz w:val="24"/>
          <w:szCs w:val="24"/>
        </w:rPr>
        <w:t>3 кв.</w:t>
      </w:r>
      <w:r w:rsidR="00282BB7" w:rsidRPr="005C3398">
        <w:rPr>
          <w:rFonts w:ascii="Times New Roman" w:eastAsia="Courier New" w:hAnsi="Times New Roman"/>
          <w:b/>
          <w:sz w:val="24"/>
          <w:szCs w:val="24"/>
        </w:rPr>
        <w:t xml:space="preserve"> </w:t>
      </w:r>
      <w:r w:rsidR="00EA740C" w:rsidRPr="005C3398">
        <w:rPr>
          <w:rFonts w:ascii="Times New Roman" w:eastAsia="Courier New" w:hAnsi="Times New Roman"/>
          <w:b/>
          <w:sz w:val="24"/>
          <w:szCs w:val="24"/>
        </w:rPr>
        <w:t>2024 г</w:t>
      </w:r>
      <w:r w:rsidR="005C3A3A" w:rsidRPr="005C3398">
        <w:rPr>
          <w:rFonts w:ascii="Times New Roman" w:eastAsia="Courier New" w:hAnsi="Times New Roman"/>
          <w:b/>
          <w:sz w:val="24"/>
          <w:szCs w:val="24"/>
        </w:rPr>
        <w:t>.</w:t>
      </w:r>
    </w:p>
    <w:p w:rsidR="007C1D29" w:rsidRPr="005C3398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5C3398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5C3398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5C3398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5C3398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5C3398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5C3398">
        <w:rPr>
          <w:rFonts w:ascii="Times New Roman" w:hAnsi="Times New Roman" w:cs="Times New Roman"/>
          <w:b/>
        </w:rPr>
        <w:t>муниципальной программы</w:t>
      </w:r>
      <w:r w:rsidR="0062480C" w:rsidRPr="005C3398">
        <w:rPr>
          <w:rFonts w:ascii="Times New Roman" w:eastAsia="Courier New" w:hAnsi="Times New Roman" w:cs="Times New Roman"/>
          <w:b/>
        </w:rPr>
        <w:t xml:space="preserve"> </w:t>
      </w:r>
      <w:r w:rsidR="0062480C" w:rsidRPr="005C3398">
        <w:rPr>
          <w:rFonts w:ascii="Times New Roman" w:hAnsi="Times New Roman" w:cs="Times New Roman"/>
          <w:b/>
        </w:rPr>
        <w:t>«</w:t>
      </w:r>
      <w:r w:rsidR="005C3398" w:rsidRPr="005C3398">
        <w:rPr>
          <w:rFonts w:ascii="Times New Roman" w:hAnsi="Times New Roman"/>
          <w:b/>
        </w:rPr>
        <w:t>Выполнение работ по установке водонапорной башни</w:t>
      </w:r>
      <w:r w:rsidR="005C3398" w:rsidRPr="005C3398">
        <w:rPr>
          <w:rFonts w:ascii="Times New Roman" w:hAnsi="Times New Roman" w:cs="Times New Roman"/>
          <w:b/>
        </w:rPr>
        <w:t xml:space="preserve"> </w:t>
      </w:r>
      <w:r w:rsidR="005C3398" w:rsidRPr="005C3398">
        <w:rPr>
          <w:rFonts w:ascii="Times New Roman" w:hAnsi="Times New Roman"/>
          <w:b/>
        </w:rPr>
        <w:t>Рожновского в с. Каменка, ул. Школьная 1 А/1 Самойловского района</w:t>
      </w:r>
      <w:r w:rsidR="005C3398" w:rsidRPr="005C3398">
        <w:rPr>
          <w:rFonts w:ascii="Times New Roman" w:hAnsi="Times New Roman" w:cs="Times New Roman"/>
          <w:b/>
        </w:rPr>
        <w:t xml:space="preserve"> </w:t>
      </w:r>
      <w:r w:rsidR="005C3398" w:rsidRPr="005C3398">
        <w:rPr>
          <w:rFonts w:ascii="Times New Roman" w:hAnsi="Times New Roman"/>
          <w:b/>
        </w:rPr>
        <w:t>Саратовской области</w:t>
      </w:r>
      <w:r w:rsidR="0062480C" w:rsidRPr="005C3398">
        <w:rPr>
          <w:rFonts w:ascii="Times New Roman" w:eastAsia="Courier New" w:hAnsi="Times New Roman" w:cs="Times New Roman"/>
          <w:b/>
        </w:rPr>
        <w:t xml:space="preserve">» </w:t>
      </w:r>
      <w:r w:rsidR="005C3A3A" w:rsidRPr="005C3398">
        <w:rPr>
          <w:rFonts w:ascii="Times New Roman" w:eastAsia="Courier New" w:hAnsi="Times New Roman" w:cs="Times New Roman"/>
          <w:b/>
        </w:rPr>
        <w:t xml:space="preserve">за период </w:t>
      </w:r>
      <w:r w:rsidR="001124E4" w:rsidRPr="005C3398">
        <w:rPr>
          <w:rFonts w:ascii="Times New Roman" w:eastAsia="Courier New" w:hAnsi="Times New Roman" w:cs="Times New Roman"/>
          <w:b/>
        </w:rPr>
        <w:t>3 кв.</w:t>
      </w:r>
      <w:r w:rsidR="00282BB7" w:rsidRPr="005C3398">
        <w:rPr>
          <w:rFonts w:ascii="Times New Roman" w:eastAsia="Courier New" w:hAnsi="Times New Roman" w:cs="Times New Roman"/>
          <w:b/>
        </w:rPr>
        <w:t xml:space="preserve"> </w:t>
      </w:r>
      <w:r w:rsidR="00EA740C" w:rsidRPr="005C3398">
        <w:rPr>
          <w:rFonts w:ascii="Times New Roman" w:eastAsia="Courier New" w:hAnsi="Times New Roman" w:cs="Times New Roman"/>
          <w:b/>
        </w:rPr>
        <w:t>2024 г</w:t>
      </w:r>
      <w:r w:rsidR="005C3A3A" w:rsidRPr="005C3398">
        <w:rPr>
          <w:rFonts w:ascii="Times New Roman" w:eastAsia="Courier New" w:hAnsi="Times New Roman" w:cs="Times New Roman"/>
          <w:b/>
        </w:rPr>
        <w:t>.</w:t>
      </w:r>
    </w:p>
    <w:p w:rsidR="007C1D29" w:rsidRPr="005C3398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5C3398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5C3398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5C3398">
        <w:rPr>
          <w:rFonts w:ascii="Times New Roman" w:hAnsi="Times New Roman" w:cs="Times New Roman"/>
        </w:rPr>
        <w:t>Наименование муниципальной программы</w:t>
      </w:r>
      <w:r w:rsidR="00CF63FA" w:rsidRPr="005C3398">
        <w:rPr>
          <w:rFonts w:ascii="Times New Roman" w:hAnsi="Times New Roman" w:cs="Times New Roman"/>
        </w:rPr>
        <w:t xml:space="preserve"> </w:t>
      </w:r>
      <w:r w:rsidR="00CF63FA" w:rsidRPr="005C3398">
        <w:rPr>
          <w:rFonts w:ascii="Times New Roman" w:hAnsi="Times New Roman" w:cs="Times New Roman"/>
          <w:b/>
        </w:rPr>
        <w:t>«</w:t>
      </w:r>
      <w:r w:rsidR="005C3398" w:rsidRPr="005C3398">
        <w:rPr>
          <w:rFonts w:ascii="Times New Roman" w:hAnsi="Times New Roman"/>
          <w:b/>
        </w:rPr>
        <w:t>Выполнение работ по установке водонапорной башни</w:t>
      </w:r>
      <w:r w:rsidR="005C3398" w:rsidRPr="005C3398">
        <w:rPr>
          <w:rFonts w:ascii="Times New Roman" w:hAnsi="Times New Roman" w:cs="Times New Roman"/>
          <w:b/>
        </w:rPr>
        <w:t xml:space="preserve"> </w:t>
      </w:r>
      <w:r w:rsidR="005C3398" w:rsidRPr="005C3398">
        <w:rPr>
          <w:rFonts w:ascii="Times New Roman" w:hAnsi="Times New Roman"/>
          <w:b/>
        </w:rPr>
        <w:t>Рожновского в с. Каменка, ул. Школьная 1 А/1 Самойловского района</w:t>
      </w:r>
      <w:r w:rsidR="005C3398" w:rsidRPr="005C3398">
        <w:rPr>
          <w:rFonts w:ascii="Times New Roman" w:hAnsi="Times New Roman" w:cs="Times New Roman"/>
          <w:b/>
        </w:rPr>
        <w:t xml:space="preserve"> </w:t>
      </w:r>
      <w:r w:rsidR="005C3398" w:rsidRPr="005C3398">
        <w:rPr>
          <w:rFonts w:ascii="Times New Roman" w:hAnsi="Times New Roman"/>
          <w:b/>
        </w:rPr>
        <w:t>Саратовской области</w:t>
      </w:r>
      <w:r w:rsidR="00CF63FA" w:rsidRPr="005C3398">
        <w:rPr>
          <w:rFonts w:ascii="Times New Roman" w:eastAsia="Courier New" w:hAnsi="Times New Roman" w:cs="Times New Roman"/>
          <w:b/>
        </w:rPr>
        <w:t xml:space="preserve">» </w:t>
      </w:r>
      <w:r w:rsidR="005C3A3A" w:rsidRPr="005C3398">
        <w:rPr>
          <w:rFonts w:ascii="Times New Roman" w:eastAsia="Courier New" w:hAnsi="Times New Roman" w:cs="Times New Roman"/>
          <w:b/>
        </w:rPr>
        <w:t xml:space="preserve">за период </w:t>
      </w:r>
      <w:r w:rsidR="001124E4" w:rsidRPr="005C3398">
        <w:rPr>
          <w:rFonts w:ascii="Times New Roman" w:eastAsia="Courier New" w:hAnsi="Times New Roman" w:cs="Times New Roman"/>
          <w:b/>
        </w:rPr>
        <w:t>3 кв.</w:t>
      </w:r>
      <w:r w:rsidR="00282BB7" w:rsidRPr="005C3398">
        <w:rPr>
          <w:rFonts w:ascii="Times New Roman" w:eastAsia="Courier New" w:hAnsi="Times New Roman" w:cs="Times New Roman"/>
          <w:b/>
        </w:rPr>
        <w:t xml:space="preserve"> </w:t>
      </w:r>
      <w:r w:rsidR="00EA740C" w:rsidRPr="005C3398">
        <w:rPr>
          <w:rFonts w:ascii="Times New Roman" w:eastAsia="Courier New" w:hAnsi="Times New Roman" w:cs="Times New Roman"/>
          <w:b/>
        </w:rPr>
        <w:t>2024 г</w:t>
      </w:r>
      <w:r w:rsidR="005C3A3A" w:rsidRPr="005C3398">
        <w:rPr>
          <w:rFonts w:ascii="Times New Roman" w:eastAsia="Courier New" w:hAnsi="Times New Roman" w:cs="Times New Roman"/>
          <w:b/>
        </w:rPr>
        <w:t>.</w:t>
      </w:r>
    </w:p>
    <w:p w:rsidR="007C1D29" w:rsidRPr="005C3398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1124E4">
        <w:rPr>
          <w:rFonts w:ascii="Times New Roman" w:hAnsi="Times New Roman" w:cs="Times New Roman"/>
        </w:rPr>
        <w:t>3 кв.</w:t>
      </w:r>
      <w:r w:rsidR="007C297D">
        <w:rPr>
          <w:rFonts w:ascii="Times New Roman" w:hAnsi="Times New Roman" w:cs="Times New Roman"/>
        </w:rPr>
        <w:t xml:space="preserve"> </w:t>
      </w:r>
      <w:r w:rsidR="00EA740C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610"/>
        <w:gridCol w:w="992"/>
        <w:gridCol w:w="992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B4295C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5C3398" w:rsidP="005C3398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 Губернатора Саратовской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B4295C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EB4F27" w:rsidRPr="00203EA7" w:rsidTr="00B4295C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273CC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5C3398">
              <w:rPr>
                <w:rFonts w:ascii="Times New Roman" w:hAnsi="Times New Roman" w:cs="Times New Roman"/>
                <w:sz w:val="20"/>
                <w:szCs w:val="20"/>
              </w:rPr>
              <w:t>по муниципальной программе</w:t>
            </w:r>
            <w:r w:rsidRPr="005C3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398" w:rsidRPr="005C3398">
              <w:rPr>
                <w:rFonts w:ascii="Times New Roman" w:hAnsi="Times New Roman"/>
                <w:b/>
                <w:sz w:val="20"/>
                <w:szCs w:val="20"/>
              </w:rPr>
              <w:t>Выполнение работ по установке водонапорной башни</w:t>
            </w:r>
            <w:r w:rsidR="005C3398" w:rsidRPr="005C3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398" w:rsidRPr="005C3398">
              <w:rPr>
                <w:rFonts w:ascii="Times New Roman" w:hAnsi="Times New Roman"/>
                <w:b/>
                <w:sz w:val="20"/>
                <w:szCs w:val="20"/>
              </w:rPr>
              <w:t>Рожновского в с. Каменка, ул. Школьная 1 А/1 Самойловского района</w:t>
            </w:r>
            <w:r w:rsidR="005C3398" w:rsidRPr="005C3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3398" w:rsidRPr="005C3398">
              <w:rPr>
                <w:rFonts w:ascii="Times New Roman" w:hAnsi="Times New Roman"/>
                <w:b/>
                <w:sz w:val="20"/>
                <w:szCs w:val="20"/>
              </w:rPr>
              <w:t>Саратовской области</w:t>
            </w:r>
            <w:r w:rsidRPr="005C339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за период 3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EB4F27" w:rsidRPr="00203EA7" w:rsidRDefault="00EB4F27" w:rsidP="00B748DB">
            <w:pPr>
              <w:rPr>
                <w:sz w:val="20"/>
                <w:szCs w:val="20"/>
                <w:lang w:eastAsia="ru-RU"/>
              </w:rPr>
            </w:pPr>
          </w:p>
          <w:p w:rsidR="00EB4F27" w:rsidRPr="00203EA7" w:rsidRDefault="00EB4F27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5C339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5C3398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B4295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B4295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B4295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B4295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B4295C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B4295C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B4295C">
        <w:rPr>
          <w:rFonts w:ascii="Times New Roman" w:hAnsi="Times New Roman"/>
          <w:b/>
        </w:rPr>
        <w:t>к</w:t>
      </w:r>
      <w:r w:rsidR="0062480C" w:rsidRPr="00B4295C">
        <w:rPr>
          <w:rFonts w:ascii="Times New Roman" w:hAnsi="Times New Roman"/>
          <w:b/>
        </w:rPr>
        <w:t xml:space="preserve"> отчету</w:t>
      </w:r>
      <w:r w:rsidRPr="00B4295C">
        <w:rPr>
          <w:rFonts w:ascii="Times New Roman" w:hAnsi="Times New Roman"/>
          <w:b/>
        </w:rPr>
        <w:t xml:space="preserve"> о реализации муниципальной программы </w:t>
      </w:r>
      <w:r w:rsidR="00B4295C" w:rsidRPr="00B4295C">
        <w:rPr>
          <w:rFonts w:ascii="Times New Roman" w:hAnsi="Times New Roman"/>
          <w:b/>
        </w:rPr>
        <w:t>Выполнение работ по установке водонапорной башни Рожновского в с. Каменка, ул. Школьная 1 А/1 Самойловского района Саратовской области</w:t>
      </w:r>
      <w:r w:rsidRPr="00B4295C">
        <w:rPr>
          <w:rFonts w:ascii="Times New Roman" w:eastAsia="Courier New" w:hAnsi="Times New Roman"/>
          <w:b/>
        </w:rPr>
        <w:t xml:space="preserve">» за период </w:t>
      </w:r>
      <w:r w:rsidR="001124E4" w:rsidRPr="00B4295C">
        <w:rPr>
          <w:rFonts w:ascii="Times New Roman" w:hAnsi="Times New Roman"/>
          <w:b/>
        </w:rPr>
        <w:t>3 кв.</w:t>
      </w:r>
      <w:r w:rsidR="007C297D" w:rsidRPr="00B4295C">
        <w:rPr>
          <w:rFonts w:ascii="Times New Roman" w:hAnsi="Times New Roman"/>
          <w:b/>
        </w:rPr>
        <w:t xml:space="preserve"> </w:t>
      </w:r>
      <w:r w:rsidR="00EA740C" w:rsidRPr="00B4295C">
        <w:rPr>
          <w:rFonts w:ascii="Times New Roman" w:hAnsi="Times New Roman"/>
          <w:b/>
        </w:rPr>
        <w:t>2024 г</w:t>
      </w:r>
      <w:r w:rsidR="00675FE2" w:rsidRPr="00B4295C">
        <w:rPr>
          <w:rFonts w:ascii="Times New Roman" w:hAnsi="Times New Roman"/>
          <w:b/>
        </w:rPr>
        <w:t>ода</w:t>
      </w:r>
    </w:p>
    <w:p w:rsidR="007C1D29" w:rsidRPr="00B4295C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B4295C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B4295C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B4295C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B4295C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B4295C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4295C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B4295C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B4295C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B4295C">
        <w:rPr>
          <w:rFonts w:ascii="Times New Roman" w:hAnsi="Times New Roman" w:cs="Times New Roman"/>
          <w:b/>
          <w:sz w:val="22"/>
          <w:szCs w:val="22"/>
        </w:rPr>
        <w:t>«</w:t>
      </w:r>
      <w:r w:rsidR="00B4295C" w:rsidRPr="00B4295C">
        <w:rPr>
          <w:rFonts w:ascii="Times New Roman" w:hAnsi="Times New Roman"/>
          <w:b/>
          <w:sz w:val="22"/>
          <w:szCs w:val="22"/>
        </w:rPr>
        <w:t>Выполнение работ по установке водонапорной башни</w:t>
      </w:r>
      <w:r w:rsidR="00B4295C" w:rsidRPr="00B429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295C" w:rsidRPr="00B4295C">
        <w:rPr>
          <w:rFonts w:ascii="Times New Roman" w:hAnsi="Times New Roman"/>
          <w:b/>
          <w:sz w:val="22"/>
          <w:szCs w:val="22"/>
        </w:rPr>
        <w:t>Рожновского в с. Каменка, ул. Школьная 1 А/1 Самойловского района</w:t>
      </w:r>
      <w:r w:rsidR="00B4295C" w:rsidRPr="00B429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295C" w:rsidRPr="00B4295C">
        <w:rPr>
          <w:rFonts w:ascii="Times New Roman" w:hAnsi="Times New Roman"/>
          <w:b/>
          <w:sz w:val="22"/>
          <w:szCs w:val="22"/>
        </w:rPr>
        <w:t>Саратовской области</w:t>
      </w:r>
      <w:r w:rsidR="0062480C" w:rsidRPr="00B4295C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 w:rsidRPr="00B4295C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1124E4" w:rsidRPr="00B4295C">
        <w:rPr>
          <w:rFonts w:ascii="Times New Roman" w:eastAsia="Courier New" w:hAnsi="Times New Roman" w:cs="Times New Roman"/>
          <w:b/>
          <w:sz w:val="22"/>
          <w:szCs w:val="22"/>
        </w:rPr>
        <w:t>3 кв.</w:t>
      </w:r>
      <w:r w:rsidR="00282BB7" w:rsidRPr="00B4295C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EA740C" w:rsidRPr="00B4295C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 w:rsidRPr="00B4295C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B4295C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B4295C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4295C" w:rsidRPr="00B4295C">
              <w:rPr>
                <w:rFonts w:ascii="Times New Roman" w:hAnsi="Times New Roman"/>
                <w:b/>
                <w:sz w:val="22"/>
                <w:szCs w:val="22"/>
              </w:rPr>
              <w:t>Выполнение работ по установке водонапорной башни</w:t>
            </w:r>
            <w:r w:rsidR="00B4295C" w:rsidRPr="00B42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4295C" w:rsidRPr="00B4295C">
              <w:rPr>
                <w:rFonts w:ascii="Times New Roman" w:hAnsi="Times New Roman"/>
                <w:b/>
                <w:sz w:val="22"/>
                <w:szCs w:val="22"/>
              </w:rPr>
              <w:t>Рожновского в с. Каменка, ул. Школьная 1 А/1 Самойловского района</w:t>
            </w:r>
            <w:r w:rsidR="00B4295C" w:rsidRPr="00B42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4295C" w:rsidRPr="00B4295C">
              <w:rPr>
                <w:rFonts w:ascii="Times New Roman" w:hAnsi="Times New Roman"/>
                <w:b/>
                <w:sz w:val="22"/>
                <w:szCs w:val="22"/>
              </w:rPr>
              <w:t>Саратовской области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период 3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D475D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D475D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1555,00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B4295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Резервный фонд Губернатора Саратовской области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D475DC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5DC" w:rsidRPr="00D475DC" w:rsidRDefault="00D475DC" w:rsidP="00D475DC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D475D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D475D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D475D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D475D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1555,00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B4295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Резервный фонд Губернатора Саратовской области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D475DC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D475DC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D475D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D475DC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AC" w:rsidRDefault="00D070AC">
      <w:pPr>
        <w:spacing w:after="0" w:line="240" w:lineRule="auto"/>
      </w:pPr>
      <w:r>
        <w:separator/>
      </w:r>
    </w:p>
  </w:endnote>
  <w:endnote w:type="continuationSeparator" w:id="1">
    <w:p w:rsidR="00D070AC" w:rsidRDefault="00D0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AC" w:rsidRDefault="00D070AC">
      <w:pPr>
        <w:spacing w:after="0" w:line="240" w:lineRule="auto"/>
      </w:pPr>
      <w:r>
        <w:separator/>
      </w:r>
    </w:p>
  </w:footnote>
  <w:footnote w:type="continuationSeparator" w:id="1">
    <w:p w:rsidR="00D070AC" w:rsidRDefault="00D0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04D86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24E4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B065C"/>
    <w:rsid w:val="001D54A0"/>
    <w:rsid w:val="001E5BDD"/>
    <w:rsid w:val="001E5E32"/>
    <w:rsid w:val="001F3C4E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E2629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577FA"/>
    <w:rsid w:val="00564377"/>
    <w:rsid w:val="00567382"/>
    <w:rsid w:val="005802ED"/>
    <w:rsid w:val="00583258"/>
    <w:rsid w:val="005848FD"/>
    <w:rsid w:val="00585ABE"/>
    <w:rsid w:val="00587B0A"/>
    <w:rsid w:val="005919D0"/>
    <w:rsid w:val="00592A82"/>
    <w:rsid w:val="005A1F63"/>
    <w:rsid w:val="005A49BC"/>
    <w:rsid w:val="005B47EC"/>
    <w:rsid w:val="005B7170"/>
    <w:rsid w:val="005B782C"/>
    <w:rsid w:val="005C1A90"/>
    <w:rsid w:val="005C3398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75FE2"/>
    <w:rsid w:val="00683BA4"/>
    <w:rsid w:val="006956D1"/>
    <w:rsid w:val="006A498E"/>
    <w:rsid w:val="006B1273"/>
    <w:rsid w:val="006B2AE2"/>
    <w:rsid w:val="006C056F"/>
    <w:rsid w:val="006C320D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724"/>
    <w:rsid w:val="00795CB6"/>
    <w:rsid w:val="00796AB3"/>
    <w:rsid w:val="007A0404"/>
    <w:rsid w:val="007A7A32"/>
    <w:rsid w:val="007B1297"/>
    <w:rsid w:val="007B1F6E"/>
    <w:rsid w:val="007B395C"/>
    <w:rsid w:val="007B7D82"/>
    <w:rsid w:val="007C1D29"/>
    <w:rsid w:val="007C297D"/>
    <w:rsid w:val="007C3B1E"/>
    <w:rsid w:val="007D4BA0"/>
    <w:rsid w:val="007E0A8E"/>
    <w:rsid w:val="007E2FDA"/>
    <w:rsid w:val="007E4C54"/>
    <w:rsid w:val="007E75E1"/>
    <w:rsid w:val="007F0015"/>
    <w:rsid w:val="007F2E23"/>
    <w:rsid w:val="0080290F"/>
    <w:rsid w:val="0081417E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309B"/>
    <w:rsid w:val="0089731E"/>
    <w:rsid w:val="008C0820"/>
    <w:rsid w:val="008C5B9C"/>
    <w:rsid w:val="008C7363"/>
    <w:rsid w:val="008D061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2A1F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414CC"/>
    <w:rsid w:val="00B4295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1EA2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CF7DCB"/>
    <w:rsid w:val="00D0410B"/>
    <w:rsid w:val="00D06E8F"/>
    <w:rsid w:val="00D070AC"/>
    <w:rsid w:val="00D3132B"/>
    <w:rsid w:val="00D3711D"/>
    <w:rsid w:val="00D42870"/>
    <w:rsid w:val="00D475DC"/>
    <w:rsid w:val="00D80EC9"/>
    <w:rsid w:val="00D85972"/>
    <w:rsid w:val="00D97E68"/>
    <w:rsid w:val="00DA1BFD"/>
    <w:rsid w:val="00DA711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4F27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15633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73</cp:revision>
  <cp:lastPrinted>2020-03-04T12:49:00Z</cp:lastPrinted>
  <dcterms:created xsi:type="dcterms:W3CDTF">2020-03-04T09:52:00Z</dcterms:created>
  <dcterms:modified xsi:type="dcterms:W3CDTF">2025-01-10T11:11:00Z</dcterms:modified>
</cp:coreProperties>
</file>