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3E0CB1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7A352B">
        <w:rPr>
          <w:rFonts w:ascii="Times New Roman" w:hAnsi="Times New Roman"/>
          <w:b/>
          <w:sz w:val="24"/>
          <w:szCs w:val="24"/>
        </w:rPr>
        <w:t xml:space="preserve"> годы</w:t>
      </w:r>
      <w:r w:rsidRPr="00A844CE">
        <w:rPr>
          <w:rFonts w:ascii="Times New Roman" w:eastAsia="Courier New" w:hAnsi="Times New Roman"/>
          <w:b/>
          <w:sz w:val="24"/>
          <w:szCs w:val="24"/>
        </w:rPr>
        <w:t xml:space="preserve">»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за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F1C64" w:rsidRPr="00A844CE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>I. Конкретные результаты реализации муниципальной</w:t>
      </w:r>
    </w:p>
    <w:p w:rsidR="00B559B2" w:rsidRPr="00A844CE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44CE">
        <w:rPr>
          <w:rFonts w:ascii="Times New Roman" w:hAnsi="Times New Roman"/>
          <w:b/>
          <w:sz w:val="24"/>
          <w:szCs w:val="24"/>
        </w:rPr>
        <w:t xml:space="preserve"> Программы, достигнутые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A844CE">
        <w:rPr>
          <w:rFonts w:ascii="Times New Roman" w:hAnsi="Times New Roman"/>
          <w:b/>
          <w:sz w:val="24"/>
          <w:szCs w:val="24"/>
        </w:rPr>
        <w:t>.</w:t>
      </w:r>
    </w:p>
    <w:p w:rsidR="00127EE5" w:rsidRPr="00A844CE" w:rsidRDefault="00B559B2" w:rsidP="00AA1354">
      <w:pPr>
        <w:ind w:left="-426" w:right="-284" w:firstLine="709"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целях </w:t>
      </w:r>
      <w:r w:rsidR="00AA1354" w:rsidRPr="00A844CE">
        <w:rPr>
          <w:rFonts w:ascii="Times New Roman" w:hAnsi="Times New Roman"/>
          <w:sz w:val="24"/>
          <w:szCs w:val="24"/>
        </w:rPr>
        <w:t>совершенствования системы муниципального управления</w:t>
      </w:r>
      <w:r w:rsidRPr="00A844CE">
        <w:rPr>
          <w:rFonts w:ascii="Times New Roman" w:hAnsi="Times New Roman"/>
          <w:sz w:val="24"/>
          <w:szCs w:val="24"/>
        </w:rPr>
        <w:t xml:space="preserve">, реализовывалась муниципальная программа </w:t>
      </w:r>
      <w:r w:rsidR="008329E4" w:rsidRPr="00A844C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AA1354" w:rsidRPr="00A844CE">
        <w:rPr>
          <w:rFonts w:ascii="Times New Roman" w:hAnsi="Times New Roman"/>
          <w:sz w:val="24"/>
          <w:szCs w:val="24"/>
        </w:rPr>
        <w:t>«</w:t>
      </w:r>
      <w:r w:rsidR="00AA1354" w:rsidRPr="00A844CE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</w:t>
      </w:r>
      <w:r w:rsidR="007A352B">
        <w:rPr>
          <w:rFonts w:ascii="Times New Roman" w:hAnsi="Times New Roman"/>
          <w:b/>
          <w:sz w:val="24"/>
          <w:szCs w:val="24"/>
        </w:rPr>
        <w:t>2</w:t>
      </w:r>
      <w:r w:rsidR="006E62B9">
        <w:rPr>
          <w:rFonts w:ascii="Times New Roman" w:hAnsi="Times New Roman"/>
          <w:b/>
          <w:sz w:val="24"/>
          <w:szCs w:val="24"/>
        </w:rPr>
        <w:t>5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8329E4" w:rsidRPr="00A844CE">
        <w:rPr>
          <w:rFonts w:ascii="Times New Roman" w:eastAsia="Courier New" w:hAnsi="Times New Roman"/>
          <w:sz w:val="24"/>
          <w:szCs w:val="24"/>
        </w:rPr>
        <w:t>»</w:t>
      </w:r>
      <w:r w:rsidR="008329E4" w:rsidRPr="00A844CE">
        <w:rPr>
          <w:rFonts w:ascii="Times New Roman" w:hAnsi="Times New Roman"/>
          <w:sz w:val="24"/>
          <w:szCs w:val="24"/>
        </w:rPr>
        <w:t xml:space="preserve"> </w:t>
      </w:r>
      <w:r w:rsidRPr="00A844CE">
        <w:rPr>
          <w:rFonts w:ascii="Times New Roman" w:hAnsi="Times New Roman"/>
          <w:sz w:val="24"/>
          <w:szCs w:val="24"/>
        </w:rPr>
        <w:t xml:space="preserve">(далее – Программа). </w:t>
      </w:r>
    </w:p>
    <w:p w:rsidR="00B559B2" w:rsidRPr="00A844CE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 xml:space="preserve">В </w:t>
      </w:r>
      <w:r w:rsidR="00785A07">
        <w:rPr>
          <w:rFonts w:ascii="Times New Roman" w:hAnsi="Times New Roman"/>
          <w:sz w:val="24"/>
          <w:szCs w:val="24"/>
        </w:rPr>
        <w:t>4 кв.</w:t>
      </w:r>
      <w:r w:rsidR="00427A71">
        <w:rPr>
          <w:rFonts w:ascii="Times New Roman" w:hAnsi="Times New Roman"/>
          <w:sz w:val="24"/>
          <w:szCs w:val="24"/>
        </w:rPr>
        <w:t>2024</w:t>
      </w:r>
      <w:r w:rsidR="00CA0C30">
        <w:rPr>
          <w:rFonts w:ascii="Times New Roman" w:hAnsi="Times New Roman"/>
          <w:sz w:val="24"/>
          <w:szCs w:val="24"/>
        </w:rPr>
        <w:t xml:space="preserve"> года</w:t>
      </w:r>
      <w:r w:rsidRPr="00A844CE">
        <w:rPr>
          <w:rFonts w:ascii="Times New Roman" w:hAnsi="Times New Roman"/>
          <w:sz w:val="24"/>
          <w:szCs w:val="24"/>
        </w:rPr>
        <w:t xml:space="preserve"> был реализован комплекс мероприятий, в результате которых: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4CE">
        <w:rPr>
          <w:rFonts w:ascii="Times New Roman" w:hAnsi="Times New Roman"/>
          <w:sz w:val="24"/>
          <w:szCs w:val="24"/>
        </w:rPr>
        <w:t>Было проведено повышение эффективности и результат</w:t>
      </w:r>
      <w:r w:rsidR="001021FC">
        <w:rPr>
          <w:rFonts w:ascii="Times New Roman" w:hAnsi="Times New Roman"/>
          <w:sz w:val="24"/>
          <w:szCs w:val="24"/>
        </w:rPr>
        <w:t>ивности</w:t>
      </w:r>
      <w:r w:rsidRPr="00A844CE">
        <w:rPr>
          <w:rFonts w:ascii="Times New Roman" w:hAnsi="Times New Roman"/>
          <w:sz w:val="24"/>
          <w:szCs w:val="24"/>
        </w:rPr>
        <w:t xml:space="preserve"> в сфере социально-экономического развития и эффективной реализации полномочий в администрации Песчанского </w:t>
      </w:r>
      <w:r w:rsidRPr="007E39D6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области.</w:t>
      </w:r>
      <w:r w:rsidR="00B559B2" w:rsidRPr="007E39D6">
        <w:rPr>
          <w:rFonts w:ascii="Times New Roman" w:hAnsi="Times New Roman"/>
          <w:sz w:val="24"/>
          <w:szCs w:val="24"/>
        </w:rPr>
        <w:tab/>
      </w:r>
    </w:p>
    <w:p w:rsidR="00B559B2" w:rsidRPr="007E39D6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E39D6">
        <w:rPr>
          <w:rFonts w:ascii="Times New Roman" w:hAnsi="Times New Roman"/>
          <w:sz w:val="24"/>
          <w:szCs w:val="24"/>
        </w:rPr>
        <w:t xml:space="preserve">На </w:t>
      </w:r>
      <w:r w:rsidR="00AA1354" w:rsidRPr="007E39D6">
        <w:rPr>
          <w:rFonts w:ascii="Times New Roman" w:hAnsi="Times New Roman"/>
          <w:sz w:val="24"/>
          <w:szCs w:val="24"/>
        </w:rPr>
        <w:t>эти цели</w:t>
      </w:r>
      <w:r w:rsidRPr="007E39D6">
        <w:rPr>
          <w:rFonts w:ascii="Times New Roman" w:hAnsi="Times New Roman"/>
          <w:sz w:val="24"/>
          <w:szCs w:val="24"/>
        </w:rPr>
        <w:t xml:space="preserve"> были направлены денежные средства в размере </w:t>
      </w:r>
      <w:r w:rsidR="0044220C" w:rsidRPr="007E39D6">
        <w:rPr>
          <w:rFonts w:ascii="Times New Roman" w:hAnsi="Times New Roman"/>
          <w:sz w:val="24"/>
          <w:szCs w:val="24"/>
        </w:rPr>
        <w:t>-</w:t>
      </w:r>
      <w:r w:rsidR="00785A07">
        <w:rPr>
          <w:rFonts w:ascii="Times New Roman" w:hAnsi="Times New Roman"/>
          <w:b/>
          <w:sz w:val="24"/>
          <w:szCs w:val="24"/>
          <w:u w:val="single"/>
        </w:rPr>
        <w:t>239930</w:t>
      </w:r>
      <w:r w:rsidR="007E39D6" w:rsidRPr="007E39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3F37">
        <w:rPr>
          <w:rFonts w:ascii="Times New Roman" w:hAnsi="Times New Roman"/>
          <w:sz w:val="24"/>
          <w:szCs w:val="24"/>
        </w:rPr>
        <w:t xml:space="preserve">руб. </w:t>
      </w:r>
      <w:r w:rsidR="00427A71">
        <w:rPr>
          <w:rFonts w:ascii="Times New Roman" w:hAnsi="Times New Roman"/>
          <w:sz w:val="24"/>
          <w:szCs w:val="24"/>
        </w:rPr>
        <w:t>00</w:t>
      </w:r>
      <w:r w:rsidR="006E62B9">
        <w:rPr>
          <w:rFonts w:ascii="Times New Roman" w:hAnsi="Times New Roman"/>
          <w:sz w:val="24"/>
          <w:szCs w:val="24"/>
        </w:rPr>
        <w:t xml:space="preserve"> </w:t>
      </w:r>
      <w:r w:rsidR="00502CC5" w:rsidRPr="007E39D6">
        <w:rPr>
          <w:rFonts w:ascii="Times New Roman" w:hAnsi="Times New Roman"/>
          <w:sz w:val="24"/>
          <w:szCs w:val="24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  <w:sz w:val="24"/>
          <w:szCs w:val="24"/>
        </w:rPr>
        <w:t xml:space="preserve">на Коммунальные </w:t>
      </w:r>
      <w:r w:rsidRPr="007E39D6">
        <w:rPr>
          <w:rFonts w:ascii="Times New Roman" w:hAnsi="Times New Roman"/>
        </w:rPr>
        <w:t>услуги (</w:t>
      </w:r>
      <w:r w:rsidR="00937A37" w:rsidRPr="007E39D6">
        <w:rPr>
          <w:rFonts w:ascii="Times New Roman" w:hAnsi="Times New Roman"/>
        </w:rPr>
        <w:t>возмещение за электроэнергию, газопотребление</w:t>
      </w:r>
      <w:r w:rsidRPr="007E39D6">
        <w:rPr>
          <w:rFonts w:ascii="Times New Roman" w:hAnsi="Times New Roman"/>
        </w:rPr>
        <w:t>)-</w:t>
      </w:r>
      <w:r w:rsidR="00F2638B" w:rsidRPr="007E39D6">
        <w:rPr>
          <w:rFonts w:ascii="Times New Roman" w:hAnsi="Times New Roman"/>
        </w:rPr>
        <w:t xml:space="preserve"> </w:t>
      </w:r>
      <w:r w:rsidR="00B02CC9">
        <w:rPr>
          <w:rFonts w:ascii="Times New Roman" w:hAnsi="Times New Roman"/>
        </w:rPr>
        <w:t xml:space="preserve">0 </w:t>
      </w:r>
      <w:r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B02CC9">
        <w:rPr>
          <w:rFonts w:ascii="Times New Roman" w:hAnsi="Times New Roman"/>
        </w:rPr>
        <w:t>00</w:t>
      </w:r>
      <w:r w:rsidR="007E39D6" w:rsidRPr="007E39D6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>на Содержание имущества (</w:t>
      </w:r>
      <w:r w:rsidR="00937A37" w:rsidRPr="007E39D6">
        <w:rPr>
          <w:rFonts w:ascii="Times New Roman" w:hAnsi="Times New Roman"/>
        </w:rPr>
        <w:t xml:space="preserve">техобслуживание автомобиля </w:t>
      </w:r>
      <w:r w:rsidR="00937A37" w:rsidRPr="007E39D6">
        <w:rPr>
          <w:rFonts w:ascii="Times New Roman" w:hAnsi="Times New Roman"/>
          <w:lang w:val="en-US"/>
        </w:rPr>
        <w:t>LADA</w:t>
      </w:r>
      <w:r w:rsidR="00937A37" w:rsidRPr="007E39D6">
        <w:rPr>
          <w:rFonts w:ascii="Times New Roman" w:hAnsi="Times New Roman"/>
        </w:rPr>
        <w:t xml:space="preserve"> 213100</w:t>
      </w:r>
      <w:r w:rsidR="00427A71">
        <w:rPr>
          <w:rFonts w:ascii="Times New Roman" w:hAnsi="Times New Roman"/>
        </w:rPr>
        <w:t xml:space="preserve"> </w:t>
      </w:r>
      <w:r w:rsidR="00937A37" w:rsidRPr="007E39D6">
        <w:rPr>
          <w:rFonts w:ascii="Times New Roman" w:hAnsi="Times New Roman"/>
        </w:rPr>
        <w:t>(замена резины,</w:t>
      </w:r>
      <w:r w:rsidR="00785A07">
        <w:rPr>
          <w:rFonts w:ascii="Times New Roman" w:hAnsi="Times New Roman"/>
        </w:rPr>
        <w:t xml:space="preserve"> шиномонтаж) –</w:t>
      </w:r>
      <w:r w:rsidR="00F2638B" w:rsidRPr="007E39D6">
        <w:rPr>
          <w:rFonts w:ascii="Times New Roman" w:hAnsi="Times New Roman"/>
        </w:rPr>
        <w:t xml:space="preserve"> </w:t>
      </w:r>
      <w:r w:rsidR="008A7486">
        <w:rPr>
          <w:rFonts w:ascii="Times New Roman" w:hAnsi="Times New Roman"/>
        </w:rPr>
        <w:t>40680</w:t>
      </w:r>
      <w:r w:rsidR="00785A07">
        <w:rPr>
          <w:rFonts w:ascii="Times New Roman" w:hAnsi="Times New Roman"/>
        </w:rPr>
        <w:t xml:space="preserve"> </w:t>
      </w:r>
      <w:r w:rsidRPr="007E39D6">
        <w:rPr>
          <w:rFonts w:ascii="Times New Roman" w:hAnsi="Times New Roman"/>
        </w:rPr>
        <w:t>руб.</w:t>
      </w:r>
      <w:r w:rsidR="00F2638B" w:rsidRPr="007E39D6">
        <w:rPr>
          <w:rFonts w:ascii="Times New Roman" w:hAnsi="Times New Roman"/>
        </w:rPr>
        <w:t xml:space="preserve"> 00.</w:t>
      </w:r>
    </w:p>
    <w:p w:rsidR="00A844CE" w:rsidRPr="007A352B" w:rsidRDefault="00AA1354" w:rsidP="00A844CE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color w:val="FF0000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>Увеличение стоимости материальных запасов (приобретение ГСМ)</w:t>
      </w:r>
      <w:r w:rsidRPr="007E39D6">
        <w:rPr>
          <w:rFonts w:ascii="Times New Roman" w:hAnsi="Times New Roman"/>
        </w:rPr>
        <w:t xml:space="preserve">- </w:t>
      </w:r>
      <w:r w:rsidR="00785A07">
        <w:rPr>
          <w:rFonts w:ascii="Times New Roman" w:hAnsi="Times New Roman"/>
        </w:rPr>
        <w:t>79958</w:t>
      </w:r>
      <w:r w:rsidR="00427A71">
        <w:rPr>
          <w:rFonts w:ascii="Times New Roman" w:hAnsi="Times New Roman"/>
        </w:rPr>
        <w:t xml:space="preserve"> </w:t>
      </w:r>
      <w:r w:rsidR="00A844CE" w:rsidRPr="007E39D6">
        <w:rPr>
          <w:rFonts w:ascii="Times New Roman" w:hAnsi="Times New Roman"/>
        </w:rPr>
        <w:t xml:space="preserve"> руб.</w:t>
      </w:r>
      <w:r w:rsidR="00061C48" w:rsidRPr="007E39D6">
        <w:rPr>
          <w:rFonts w:ascii="Times New Roman" w:hAnsi="Times New Roman"/>
        </w:rPr>
        <w:t xml:space="preserve"> </w:t>
      </w:r>
      <w:r w:rsidR="00785A07">
        <w:rPr>
          <w:rFonts w:ascii="Times New Roman" w:hAnsi="Times New Roman"/>
        </w:rPr>
        <w:t>64</w:t>
      </w:r>
      <w:r w:rsidR="00E4124D">
        <w:rPr>
          <w:rFonts w:ascii="Times New Roman" w:hAnsi="Times New Roman"/>
        </w:rPr>
        <w:t xml:space="preserve"> </w:t>
      </w:r>
      <w:r w:rsidR="00061C48" w:rsidRPr="007E39D6">
        <w:rPr>
          <w:rFonts w:ascii="Times New Roman" w:hAnsi="Times New Roman"/>
        </w:rPr>
        <w:t>коп.</w:t>
      </w:r>
    </w:p>
    <w:p w:rsidR="00AA1354" w:rsidRPr="007E39D6" w:rsidRDefault="00AA1354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7E39D6">
        <w:rPr>
          <w:rFonts w:ascii="Times New Roman" w:hAnsi="Times New Roman"/>
        </w:rPr>
        <w:t xml:space="preserve">на </w:t>
      </w:r>
      <w:r w:rsidR="00937A37" w:rsidRPr="007E39D6">
        <w:rPr>
          <w:rFonts w:ascii="Times New Roman" w:hAnsi="Times New Roman"/>
        </w:rPr>
        <w:t xml:space="preserve">Увеличение стоимости прочих оборотных запасов (приобретение канцтоваров, </w:t>
      </w:r>
      <w:r w:rsidR="00785A07">
        <w:rPr>
          <w:rFonts w:ascii="Times New Roman" w:hAnsi="Times New Roman"/>
        </w:rPr>
        <w:t>заправка картриджей</w:t>
      </w:r>
      <w:r w:rsidR="00937A37" w:rsidRPr="007E39D6">
        <w:rPr>
          <w:rFonts w:ascii="Times New Roman" w:hAnsi="Times New Roman"/>
        </w:rPr>
        <w:t>)</w:t>
      </w:r>
      <w:r w:rsidRPr="007E39D6">
        <w:rPr>
          <w:rFonts w:ascii="Times New Roman" w:hAnsi="Times New Roman"/>
        </w:rPr>
        <w:t xml:space="preserve">- </w:t>
      </w:r>
      <w:r w:rsidR="00785A07">
        <w:rPr>
          <w:rFonts w:ascii="Times New Roman" w:hAnsi="Times New Roman"/>
        </w:rPr>
        <w:t>11112</w:t>
      </w:r>
      <w:r w:rsidRPr="007E39D6">
        <w:rPr>
          <w:rFonts w:ascii="Times New Roman" w:hAnsi="Times New Roman"/>
        </w:rPr>
        <w:t xml:space="preserve"> руб.</w:t>
      </w:r>
      <w:r w:rsidR="006E62B9">
        <w:rPr>
          <w:rFonts w:ascii="Times New Roman" w:hAnsi="Times New Roman"/>
        </w:rPr>
        <w:t>0</w:t>
      </w:r>
      <w:r w:rsidR="007E39D6" w:rsidRPr="007E39D6">
        <w:rPr>
          <w:rFonts w:ascii="Times New Roman" w:hAnsi="Times New Roman"/>
        </w:rPr>
        <w:t xml:space="preserve">0 </w:t>
      </w:r>
      <w:r w:rsidR="00061C48" w:rsidRPr="007E39D6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 xml:space="preserve">на </w:t>
      </w:r>
      <w:r w:rsidR="00937A37" w:rsidRPr="00C72487">
        <w:rPr>
          <w:rFonts w:ascii="Times New Roman" w:hAnsi="Times New Roman"/>
        </w:rPr>
        <w:t>Прочие работы, услуги (страхование автогражданской ответственности, услуги редакции, оплата)</w:t>
      </w:r>
      <w:r w:rsidRPr="00C72487">
        <w:rPr>
          <w:rFonts w:ascii="Times New Roman" w:hAnsi="Times New Roman"/>
        </w:rPr>
        <w:t>-</w:t>
      </w:r>
      <w:r w:rsidR="004F5DAE" w:rsidRPr="00C72487">
        <w:rPr>
          <w:rFonts w:ascii="Times New Roman" w:hAnsi="Times New Roman"/>
        </w:rPr>
        <w:t xml:space="preserve">  </w:t>
      </w:r>
      <w:r w:rsidR="00785A07">
        <w:rPr>
          <w:rFonts w:ascii="Times New Roman" w:hAnsi="Times New Roman"/>
        </w:rPr>
        <w:t>13927</w:t>
      </w:r>
      <w:r w:rsidR="00E4124D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785A07">
        <w:rPr>
          <w:rFonts w:ascii="Times New Roman" w:hAnsi="Times New Roman"/>
        </w:rPr>
        <w:t xml:space="preserve"> 33</w:t>
      </w:r>
      <w:r w:rsidR="00E4124D">
        <w:rPr>
          <w:rFonts w:ascii="Times New Roman" w:hAnsi="Times New Roman"/>
        </w:rPr>
        <w:t xml:space="preserve"> </w:t>
      </w:r>
      <w:r w:rsidR="00613493" w:rsidRPr="00C72487">
        <w:rPr>
          <w:rFonts w:ascii="Times New Roman" w:hAnsi="Times New Roman"/>
        </w:rPr>
        <w:t>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Ремонт и обслуживание компьютерной техники-</w:t>
      </w:r>
      <w:r w:rsidR="004F5DAE" w:rsidRPr="00C72487">
        <w:rPr>
          <w:rFonts w:ascii="Times New Roman" w:hAnsi="Times New Roman"/>
        </w:rPr>
        <w:t>0</w:t>
      </w:r>
      <w:r w:rsidRPr="00C72487">
        <w:rPr>
          <w:rFonts w:ascii="Times New Roman" w:hAnsi="Times New Roman"/>
        </w:rPr>
        <w:t xml:space="preserve"> руб.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 w:rsidRPr="00C72487">
        <w:rPr>
          <w:rFonts w:ascii="Times New Roman" w:hAnsi="Times New Roman"/>
        </w:rPr>
        <w:t>на Обслуживание программного обеспечения-</w:t>
      </w:r>
      <w:r w:rsidR="00E4124D">
        <w:rPr>
          <w:rFonts w:ascii="Times New Roman" w:hAnsi="Times New Roman"/>
        </w:rPr>
        <w:t>9000</w:t>
      </w:r>
      <w:r w:rsidR="00061C48" w:rsidRPr="00C72487">
        <w:rPr>
          <w:rFonts w:ascii="Times New Roman" w:hAnsi="Times New Roman"/>
        </w:rPr>
        <w:t xml:space="preserve"> </w:t>
      </w:r>
      <w:r w:rsidRPr="00C72487">
        <w:rPr>
          <w:rFonts w:ascii="Times New Roman" w:hAnsi="Times New Roman"/>
        </w:rPr>
        <w:t>руб.</w:t>
      </w:r>
      <w:r w:rsidR="00E4124D">
        <w:rPr>
          <w:rFonts w:ascii="Times New Roman" w:hAnsi="Times New Roman"/>
        </w:rPr>
        <w:t>00 коп.</w:t>
      </w:r>
    </w:p>
    <w:p w:rsidR="00A844CE" w:rsidRPr="00C72487" w:rsidRDefault="00A844C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bCs/>
          <w:lang w:eastAsia="ru-RU"/>
        </w:rPr>
      </w:pPr>
      <w:r w:rsidRPr="00C72487">
        <w:rPr>
          <w:rFonts w:ascii="Times New Roman" w:hAnsi="Times New Roman"/>
        </w:rPr>
        <w:t xml:space="preserve">на </w:t>
      </w:r>
      <w:r w:rsidRPr="00C72487">
        <w:rPr>
          <w:rFonts w:ascii="Times New Roman" w:hAnsi="Times New Roman"/>
          <w:bCs/>
          <w:lang w:eastAsia="ru-RU"/>
        </w:rPr>
        <w:t xml:space="preserve">Услуги связи- </w:t>
      </w:r>
      <w:r w:rsidR="000472BD">
        <w:rPr>
          <w:rFonts w:ascii="Times New Roman" w:hAnsi="Times New Roman"/>
          <w:bCs/>
          <w:lang w:eastAsia="ru-RU"/>
        </w:rPr>
        <w:t>52577</w:t>
      </w:r>
      <w:r w:rsidR="00920E7F">
        <w:rPr>
          <w:rFonts w:ascii="Times New Roman" w:hAnsi="Times New Roman"/>
          <w:bCs/>
          <w:lang w:eastAsia="ru-RU"/>
        </w:rPr>
        <w:t xml:space="preserve"> </w:t>
      </w:r>
      <w:r w:rsidRPr="00C72487">
        <w:rPr>
          <w:rFonts w:ascii="Times New Roman" w:hAnsi="Times New Roman"/>
          <w:bCs/>
          <w:lang w:eastAsia="ru-RU"/>
        </w:rPr>
        <w:t>руб.</w:t>
      </w:r>
      <w:r w:rsidR="004F5DAE" w:rsidRPr="00C72487">
        <w:rPr>
          <w:rFonts w:ascii="Times New Roman" w:hAnsi="Times New Roman"/>
          <w:bCs/>
          <w:lang w:eastAsia="ru-RU"/>
        </w:rPr>
        <w:t xml:space="preserve"> </w:t>
      </w:r>
      <w:r w:rsidR="000472BD">
        <w:rPr>
          <w:rFonts w:ascii="Times New Roman" w:hAnsi="Times New Roman"/>
          <w:bCs/>
          <w:lang w:eastAsia="ru-RU"/>
        </w:rPr>
        <w:t>27</w:t>
      </w:r>
      <w:r w:rsidR="004F5DAE" w:rsidRPr="00C72487">
        <w:rPr>
          <w:rFonts w:ascii="Times New Roman" w:hAnsi="Times New Roman"/>
          <w:bCs/>
          <w:lang w:eastAsia="ru-RU"/>
        </w:rPr>
        <w:t xml:space="preserve"> коп.</w:t>
      </w:r>
    </w:p>
    <w:p w:rsidR="00785A07" w:rsidRDefault="00785A07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90068" w:rsidRPr="00190068" w:rsidRDefault="00B559B2" w:rsidP="00190068">
      <w:pPr>
        <w:ind w:left="567" w:right="-284" w:firstLine="709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</w:t>
      </w:r>
      <w:r w:rsidRPr="00190068">
        <w:rPr>
          <w:rFonts w:ascii="Times New Roman" w:hAnsi="Times New Roman"/>
          <w:sz w:val="24"/>
          <w:szCs w:val="24"/>
        </w:rPr>
        <w:t xml:space="preserve">Программы проводились мероприятия, направленные </w:t>
      </w:r>
      <w:r w:rsidR="00190068" w:rsidRPr="00190068">
        <w:rPr>
          <w:rFonts w:ascii="Times New Roman" w:hAnsi="Times New Roman"/>
          <w:sz w:val="24"/>
          <w:szCs w:val="24"/>
        </w:rPr>
        <w:t>на достижение улучшения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</w:t>
      </w:r>
      <w:r w:rsidRPr="00190068">
        <w:rPr>
          <w:rFonts w:ascii="Times New Roman" w:hAnsi="Times New Roman"/>
          <w:sz w:val="24"/>
          <w:szCs w:val="24"/>
        </w:rPr>
        <w:t xml:space="preserve"> </w:t>
      </w:r>
      <w:r w:rsidR="00190068">
        <w:rPr>
          <w:rFonts w:ascii="Times New Roman" w:hAnsi="Times New Roman"/>
          <w:sz w:val="24"/>
          <w:szCs w:val="24"/>
        </w:rPr>
        <w:t>.</w:t>
      </w:r>
    </w:p>
    <w:p w:rsidR="00B559B2" w:rsidRPr="00203EA7" w:rsidRDefault="00190068" w:rsidP="001021FC">
      <w:pPr>
        <w:ind w:left="708" w:right="-284" w:firstLine="709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190068">
        <w:rPr>
          <w:rFonts w:ascii="Times New Roman" w:hAnsi="Times New Roman"/>
          <w:sz w:val="24"/>
          <w:szCs w:val="24"/>
        </w:rPr>
        <w:t>.</w:t>
      </w:r>
      <w:r w:rsidR="00B559B2"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="00B559B2"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е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было предусмотрено</w:t>
      </w:r>
      <w:r w:rsidR="0028284B">
        <w:rPr>
          <w:rFonts w:ascii="Times New Roman" w:hAnsi="Times New Roman"/>
          <w:kern w:val="2"/>
          <w:sz w:val="26"/>
          <w:szCs w:val="26"/>
        </w:rPr>
        <w:t xml:space="preserve"> </w:t>
      </w:r>
      <w:r w:rsidR="008A7486">
        <w:rPr>
          <w:rFonts w:ascii="Times New Roman" w:hAnsi="Times New Roman"/>
          <w:kern w:val="2"/>
          <w:sz w:val="26"/>
          <w:szCs w:val="26"/>
        </w:rPr>
        <w:t>239930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28284B">
        <w:rPr>
          <w:rFonts w:ascii="Times New Roman" w:hAnsi="Times New Roman"/>
          <w:kern w:val="2"/>
          <w:sz w:val="26"/>
          <w:szCs w:val="26"/>
        </w:rPr>
        <w:t>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8A7486">
        <w:rPr>
          <w:rFonts w:ascii="Times New Roman" w:hAnsi="Times New Roman"/>
          <w:kern w:val="2"/>
          <w:sz w:val="26"/>
          <w:szCs w:val="26"/>
        </w:rPr>
        <w:t>239930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 руб. </w:t>
      </w:r>
      <w:r w:rsidR="00DF5C7B">
        <w:rPr>
          <w:rFonts w:ascii="Times New Roman" w:hAnsi="Times New Roman"/>
          <w:kern w:val="2"/>
          <w:sz w:val="26"/>
          <w:szCs w:val="26"/>
        </w:rPr>
        <w:t>00</w:t>
      </w:r>
      <w:r w:rsidR="00190068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8A7486">
        <w:rPr>
          <w:rFonts w:ascii="Times New Roman" w:hAnsi="Times New Roman"/>
          <w:kern w:val="2"/>
          <w:sz w:val="26"/>
          <w:szCs w:val="26"/>
        </w:rPr>
        <w:t>207255</w:t>
      </w:r>
      <w:r w:rsidR="004A5543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8A7486">
        <w:rPr>
          <w:rFonts w:ascii="Times New Roman" w:hAnsi="Times New Roman"/>
          <w:kern w:val="2"/>
          <w:sz w:val="26"/>
          <w:szCs w:val="26"/>
        </w:rPr>
        <w:t xml:space="preserve">24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</w:t>
      </w:r>
      <w:r w:rsidR="00DF5C7B">
        <w:rPr>
          <w:rFonts w:ascii="Times New Roman" w:hAnsi="Times New Roman"/>
          <w:kern w:val="2"/>
          <w:sz w:val="26"/>
          <w:szCs w:val="26"/>
        </w:rPr>
        <w:t>–</w:t>
      </w:r>
      <w:r w:rsidR="00B93161">
        <w:rPr>
          <w:rFonts w:ascii="Times New Roman" w:hAnsi="Times New Roman"/>
          <w:kern w:val="2"/>
          <w:sz w:val="26"/>
          <w:szCs w:val="26"/>
        </w:rPr>
        <w:t xml:space="preserve"> </w:t>
      </w:r>
      <w:r w:rsidR="008A7486">
        <w:rPr>
          <w:rFonts w:ascii="Times New Roman" w:hAnsi="Times New Roman"/>
          <w:kern w:val="2"/>
          <w:sz w:val="26"/>
          <w:szCs w:val="26"/>
        </w:rPr>
        <w:t>207255</w:t>
      </w:r>
      <w:r w:rsidR="00DF5C7B">
        <w:rPr>
          <w:rFonts w:ascii="Times New Roman" w:hAnsi="Times New Roman"/>
          <w:kern w:val="2"/>
          <w:sz w:val="26"/>
          <w:szCs w:val="26"/>
        </w:rPr>
        <w:t xml:space="preserve"> </w:t>
      </w:r>
      <w:r w:rsidR="003003B4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8A7486">
        <w:rPr>
          <w:rFonts w:ascii="Times New Roman" w:hAnsi="Times New Roman"/>
          <w:kern w:val="2"/>
          <w:sz w:val="26"/>
          <w:szCs w:val="26"/>
        </w:rPr>
        <w:t>24</w:t>
      </w:r>
      <w:r w:rsidR="00214A25">
        <w:rPr>
          <w:rFonts w:ascii="Times New Roman" w:hAnsi="Times New Roman"/>
          <w:kern w:val="2"/>
          <w:sz w:val="26"/>
          <w:szCs w:val="26"/>
        </w:rPr>
        <w:t xml:space="preserve"> </w:t>
      </w:r>
      <w:r w:rsidR="00190068">
        <w:rPr>
          <w:rFonts w:ascii="Times New Roman" w:hAnsi="Times New Roman"/>
          <w:kern w:val="2"/>
          <w:sz w:val="26"/>
          <w:szCs w:val="26"/>
        </w:rPr>
        <w:t>коп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8A7486">
        <w:rPr>
          <w:rFonts w:ascii="Times New Roman" w:hAnsi="Times New Roman"/>
          <w:kern w:val="2"/>
          <w:sz w:val="26"/>
          <w:szCs w:val="26"/>
        </w:rPr>
        <w:t>86</w:t>
      </w:r>
      <w:r w:rsidR="00502CC5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4A5543" w:rsidRDefault="00B559B2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8A7486">
        <w:rPr>
          <w:rFonts w:ascii="Times New Roman" w:hAnsi="Times New Roman"/>
          <w:sz w:val="26"/>
          <w:szCs w:val="26"/>
        </w:rPr>
        <w:t>34321</w:t>
      </w:r>
      <w:r w:rsidR="003003B4">
        <w:rPr>
          <w:rFonts w:ascii="Times New Roman" w:hAnsi="Times New Roman"/>
          <w:sz w:val="26"/>
          <w:szCs w:val="26"/>
        </w:rPr>
        <w:t xml:space="preserve"> руб.</w:t>
      </w:r>
      <w:r w:rsidR="00E4124D">
        <w:rPr>
          <w:rFonts w:ascii="Times New Roman" w:hAnsi="Times New Roman"/>
          <w:sz w:val="26"/>
          <w:szCs w:val="26"/>
        </w:rPr>
        <w:t xml:space="preserve"> </w:t>
      </w:r>
      <w:r w:rsidR="008A7486">
        <w:rPr>
          <w:rFonts w:ascii="Times New Roman" w:hAnsi="Times New Roman"/>
          <w:sz w:val="26"/>
          <w:szCs w:val="26"/>
        </w:rPr>
        <w:t xml:space="preserve">76 </w:t>
      </w:r>
      <w:r w:rsidR="003003B4">
        <w:rPr>
          <w:rFonts w:ascii="Times New Roman" w:hAnsi="Times New Roman"/>
          <w:sz w:val="26"/>
          <w:szCs w:val="26"/>
        </w:rPr>
        <w:t>коп.</w:t>
      </w:r>
      <w:r w:rsidRPr="00203EA7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203EA7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203EA7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203EA7">
        <w:rPr>
          <w:rFonts w:ascii="Times New Roman" w:hAnsi="Times New Roman"/>
          <w:sz w:val="26"/>
          <w:szCs w:val="26"/>
        </w:rPr>
        <w:t>0,0</w:t>
      </w:r>
      <w:r w:rsidRPr="00203EA7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203EA7">
        <w:rPr>
          <w:rFonts w:ascii="Times New Roman" w:hAnsi="Times New Roman"/>
          <w:sz w:val="26"/>
          <w:szCs w:val="26"/>
        </w:rPr>
        <w:t xml:space="preserve">районный бюджет, </w:t>
      </w:r>
      <w:r w:rsidRPr="00203EA7">
        <w:rPr>
          <w:rFonts w:ascii="Times New Roman" w:hAnsi="Times New Roman"/>
          <w:sz w:val="26"/>
          <w:szCs w:val="26"/>
        </w:rPr>
        <w:t xml:space="preserve">местный бюджет </w:t>
      </w:r>
      <w:r w:rsidR="008A7486">
        <w:rPr>
          <w:rFonts w:ascii="Times New Roman" w:hAnsi="Times New Roman"/>
          <w:sz w:val="26"/>
          <w:szCs w:val="26"/>
        </w:rPr>
        <w:t xml:space="preserve">34321 руб. 76 </w:t>
      </w:r>
      <w:r w:rsidR="004A5543">
        <w:rPr>
          <w:rFonts w:ascii="Times New Roman" w:hAnsi="Times New Roman"/>
          <w:sz w:val="26"/>
          <w:szCs w:val="26"/>
        </w:rPr>
        <w:t>коп</w:t>
      </w:r>
      <w:r w:rsidR="004A5543" w:rsidRPr="00536E6E">
        <w:rPr>
          <w:rFonts w:ascii="Times New Roman" w:hAnsi="Times New Roman"/>
          <w:sz w:val="26"/>
          <w:szCs w:val="26"/>
        </w:rPr>
        <w:t xml:space="preserve">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3003B4" w:rsidRPr="00536E6E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3003B4" w:rsidRPr="001E1AE2" w:rsidRDefault="003003B4" w:rsidP="003003B4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190068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190068">
        <w:rPr>
          <w:rFonts w:ascii="Times New Roman" w:hAnsi="Times New Roman"/>
          <w:b/>
          <w:sz w:val="24"/>
          <w:szCs w:val="24"/>
        </w:rPr>
        <w:t>муниципальной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hyperlink r:id="rId8" w:anchor="YANDEX_122" w:history="1"/>
      <w:r w:rsidR="004F1C64" w:rsidRPr="00190068">
        <w:rPr>
          <w:rFonts w:ascii="Times New Roman" w:hAnsi="Times New Roman"/>
          <w:b/>
          <w:sz w:val="24"/>
          <w:szCs w:val="24"/>
        </w:rPr>
        <w:t>«</w:t>
      </w:r>
      <w:r w:rsidR="00190068" w:rsidRPr="00190068">
        <w:rPr>
          <w:rFonts w:ascii="Times New Roman" w:hAnsi="Times New Roman"/>
          <w:b/>
          <w:sz w:val="24"/>
          <w:szCs w:val="24"/>
        </w:rPr>
        <w:t xml:space="preserve"> «Совершенствование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937A37">
        <w:rPr>
          <w:rFonts w:ascii="Times New Roman" w:hAnsi="Times New Roman"/>
          <w:b/>
          <w:sz w:val="24"/>
          <w:szCs w:val="24"/>
        </w:rPr>
        <w:t xml:space="preserve"> -</w:t>
      </w:r>
      <w:r w:rsidR="00E04C81">
        <w:rPr>
          <w:rFonts w:ascii="Times New Roman" w:hAnsi="Times New Roman"/>
          <w:b/>
          <w:sz w:val="24"/>
          <w:szCs w:val="24"/>
        </w:rPr>
        <w:t>202</w:t>
      </w:r>
      <w:r w:rsidR="00A1212D">
        <w:rPr>
          <w:rFonts w:ascii="Times New Roman" w:hAnsi="Times New Roman"/>
          <w:b/>
          <w:sz w:val="24"/>
          <w:szCs w:val="24"/>
        </w:rPr>
        <w:t>4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4F1C64" w:rsidRPr="00190068">
        <w:rPr>
          <w:rFonts w:ascii="Times New Roman" w:hAnsi="Times New Roman"/>
          <w:b/>
          <w:sz w:val="24"/>
          <w:szCs w:val="24"/>
        </w:rPr>
        <w:t>»</w:t>
      </w:r>
      <w:r w:rsidR="000219F3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="00E80A50">
        <w:rPr>
          <w:rFonts w:ascii="Times New Roman" w:hAnsi="Times New Roman"/>
          <w:b/>
          <w:sz w:val="24"/>
          <w:szCs w:val="24"/>
        </w:rPr>
        <w:t xml:space="preserve">за </w:t>
      </w:r>
      <w:r w:rsidR="00785A07">
        <w:rPr>
          <w:rFonts w:ascii="Times New Roman" w:hAnsi="Times New Roman"/>
          <w:b/>
          <w:sz w:val="24"/>
          <w:szCs w:val="24"/>
        </w:rPr>
        <w:t>4 кв.</w:t>
      </w:r>
      <w:r w:rsidR="00672009">
        <w:rPr>
          <w:rFonts w:ascii="Times New Roman" w:hAnsi="Times New Roman"/>
          <w:b/>
          <w:sz w:val="24"/>
          <w:szCs w:val="24"/>
        </w:rPr>
        <w:t xml:space="preserve"> </w:t>
      </w:r>
      <w:r w:rsidR="00427A71">
        <w:rPr>
          <w:rFonts w:ascii="Times New Roman" w:hAnsi="Times New Roman"/>
          <w:b/>
          <w:sz w:val="24"/>
          <w:szCs w:val="24"/>
        </w:rPr>
        <w:t>2024</w:t>
      </w:r>
      <w:r w:rsidR="004F1C64" w:rsidRPr="00190068">
        <w:rPr>
          <w:rFonts w:ascii="Times New Roman" w:hAnsi="Times New Roman"/>
          <w:b/>
          <w:sz w:val="24"/>
          <w:szCs w:val="24"/>
        </w:rPr>
        <w:t xml:space="preserve"> </w:t>
      </w:r>
      <w:r w:rsidRPr="00190068">
        <w:rPr>
          <w:rFonts w:ascii="Times New Roman" w:hAnsi="Times New Roman"/>
          <w:b/>
          <w:sz w:val="24"/>
          <w:szCs w:val="24"/>
        </w:rPr>
        <w:t>г.</w:t>
      </w:r>
      <w:r w:rsidRPr="00190068">
        <w:rPr>
          <w:rFonts w:ascii="Times New Roman" w:hAnsi="Times New Roman"/>
          <w:b/>
          <w:kern w:val="2"/>
          <w:sz w:val="24"/>
          <w:szCs w:val="24"/>
        </w:rPr>
        <w:t xml:space="preserve"> представлены в таблице 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Приложение 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№ 3</w:t>
      </w:r>
      <w:r w:rsidR="003175FB" w:rsidRPr="00190068">
        <w:rPr>
          <w:rFonts w:ascii="Times New Roman" w:hAnsi="Times New Roman"/>
          <w:b/>
          <w:kern w:val="2"/>
          <w:sz w:val="24"/>
          <w:szCs w:val="24"/>
        </w:rPr>
        <w:t xml:space="preserve"> к настоящему отчету</w:t>
      </w:r>
      <w:r w:rsidRPr="00190068"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672009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672009">
        <w:rPr>
          <w:rFonts w:ascii="Times New Roman" w:eastAsia="Courier New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</w:t>
      </w:r>
      <w:r w:rsidR="00190068">
        <w:rPr>
          <w:rFonts w:ascii="Times New Roman" w:hAnsi="Times New Roman"/>
          <w:kern w:val="2"/>
          <w:sz w:val="26"/>
          <w:szCs w:val="26"/>
        </w:rPr>
        <w:t>о достижение плановых значений шести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показателей: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1. Реализация работ по обеспечению бесперебойного функционирования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2. Повышение отказоустойчивости и надежности хранения данных средств вычислительной и офисной техники.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3. Выполнение работ по обеспечению бесперебойного функционирования программных средств и программных средств защиты информации.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4. Выполнение работ по повышению эффективности программного обеспечения и увеличению доли документов хранимых в электронном виде. </w:t>
      </w:r>
    </w:p>
    <w:p w:rsidR="00190068" w:rsidRPr="00190068" w:rsidRDefault="00190068" w:rsidP="00941055">
      <w:pPr>
        <w:spacing w:after="0" w:line="240" w:lineRule="auto"/>
        <w:ind w:left="708" w:right="-284" w:firstLine="709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sz w:val="24"/>
          <w:szCs w:val="24"/>
        </w:rPr>
        <w:t xml:space="preserve">5.  Обеспечение связи для работы в сети интернет. </w:t>
      </w:r>
    </w:p>
    <w:p w:rsidR="00041D20" w:rsidRDefault="00190068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0068">
        <w:rPr>
          <w:rFonts w:ascii="Times New Roman" w:hAnsi="Times New Roman"/>
          <w:sz w:val="24"/>
          <w:szCs w:val="24"/>
        </w:rPr>
        <w:t>6.  Обучение персонала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41055" w:rsidRDefault="00941055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kern w:val="2"/>
          <w:sz w:val="24"/>
          <w:szCs w:val="24"/>
        </w:rPr>
      </w:pPr>
    </w:p>
    <w:p w:rsidR="00B559B2" w:rsidRPr="00190068" w:rsidRDefault="00B559B2" w:rsidP="00941055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190068">
        <w:rPr>
          <w:rFonts w:ascii="Times New Roman" w:hAnsi="Times New Roman"/>
          <w:kern w:val="2"/>
          <w:sz w:val="24"/>
          <w:szCs w:val="24"/>
        </w:rPr>
        <w:t xml:space="preserve">По итогам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а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Pr="00190068">
        <w:rPr>
          <w:rFonts w:ascii="Times New Roman" w:hAnsi="Times New Roman"/>
          <w:kern w:val="2"/>
          <w:sz w:val="24"/>
          <w:szCs w:val="24"/>
        </w:rPr>
        <w:t xml:space="preserve"> запланированные значения показателей достигнуты.</w:t>
      </w:r>
      <w:r w:rsidRPr="00190068">
        <w:rPr>
          <w:rFonts w:ascii="Times New Roman" w:hAnsi="Times New Roman"/>
          <w:sz w:val="24"/>
          <w:szCs w:val="24"/>
        </w:rPr>
        <w:t xml:space="preserve"> </w:t>
      </w:r>
    </w:p>
    <w:p w:rsidR="00B559B2" w:rsidRPr="00203EA7" w:rsidRDefault="00B559B2" w:rsidP="0094105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785A07">
        <w:rPr>
          <w:rFonts w:ascii="Times New Roman" w:hAnsi="Times New Roman"/>
          <w:b/>
          <w:sz w:val="26"/>
          <w:szCs w:val="26"/>
        </w:rPr>
        <w:t>4 кв.</w:t>
      </w:r>
      <w:r w:rsidR="00041D20">
        <w:rPr>
          <w:rFonts w:ascii="Times New Roman" w:hAnsi="Times New Roman"/>
          <w:b/>
          <w:sz w:val="26"/>
          <w:szCs w:val="26"/>
        </w:rPr>
        <w:t xml:space="preserve"> </w:t>
      </w:r>
      <w:r w:rsidR="00427A71">
        <w:rPr>
          <w:rFonts w:ascii="Times New Roman" w:hAnsi="Times New Roman"/>
          <w:b/>
          <w:sz w:val="26"/>
          <w:szCs w:val="26"/>
        </w:rPr>
        <w:t>2024</w:t>
      </w:r>
      <w:r w:rsidR="007A352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lastRenderedPageBreak/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>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</w:t>
      </w:r>
      <w:r w:rsidR="004B2F11" w:rsidRPr="00203EA7">
        <w:rPr>
          <w:rFonts w:ascii="Times New Roman" w:hAnsi="Times New Roman"/>
          <w:sz w:val="28"/>
          <w:szCs w:val="28"/>
        </w:rPr>
        <w:lastRenderedPageBreak/>
        <w:t>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C1D29" w:rsidRPr="00203EA7" w:rsidRDefault="003175FB" w:rsidP="00E80A50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</w:t>
      </w:r>
      <w:r w:rsidR="00937A37">
        <w:rPr>
          <w:rFonts w:ascii="Times New Roman" w:hAnsi="Times New Roman" w:cs="Times New Roman"/>
          <w:b/>
        </w:rPr>
        <w:t xml:space="preserve"> -</w:t>
      </w:r>
      <w:r w:rsidR="00E04C81">
        <w:rPr>
          <w:rFonts w:ascii="Times New Roman" w:hAnsi="Times New Roman" w:cs="Times New Roman"/>
          <w:b/>
        </w:rPr>
        <w:t>202</w:t>
      </w:r>
      <w:r w:rsidR="00AB5B6F">
        <w:rPr>
          <w:rFonts w:ascii="Times New Roman" w:hAnsi="Times New Roman" w:cs="Times New Roman"/>
          <w:b/>
        </w:rPr>
        <w:t>5</w:t>
      </w:r>
      <w:r w:rsidR="00E04C81">
        <w:rPr>
          <w:rFonts w:ascii="Times New Roman" w:hAnsi="Times New Roman" w:cs="Times New Roman"/>
          <w:b/>
        </w:rPr>
        <w:t xml:space="preserve"> годы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92979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A352B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785A07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A7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80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C92979" w:rsidP="00E80A50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8A74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8A74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p w:rsidR="00E80A50" w:rsidRPr="00203EA7" w:rsidRDefault="00E80A50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3175FB" w:rsidRPr="00203EA7" w:rsidRDefault="007C1D29" w:rsidP="003175FB">
      <w:pPr>
        <w:shd w:val="clear" w:color="auto" w:fill="FFFFFF"/>
        <w:spacing w:after="0" w:line="240" w:lineRule="auto"/>
        <w:ind w:left="8496" w:firstLine="709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190068">
        <w:rPr>
          <w:rFonts w:ascii="Times New Roman" w:hAnsi="Times New Roman"/>
          <w:b/>
          <w:sz w:val="26"/>
          <w:szCs w:val="26"/>
        </w:rPr>
        <w:t>«</w:t>
      </w:r>
      <w:r w:rsidR="00190068" w:rsidRPr="00AA1354">
        <w:rPr>
          <w:rFonts w:ascii="Times New Roman" w:hAnsi="Times New Roman"/>
          <w:b/>
          <w:sz w:val="24"/>
          <w:szCs w:val="24"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/>
          <w:b/>
          <w:sz w:val="24"/>
          <w:szCs w:val="24"/>
        </w:rPr>
        <w:t xml:space="preserve">на </w:t>
      </w:r>
      <w:r w:rsidR="00427A71">
        <w:rPr>
          <w:rFonts w:ascii="Times New Roman" w:hAnsi="Times New Roman"/>
          <w:b/>
          <w:sz w:val="24"/>
          <w:szCs w:val="24"/>
        </w:rPr>
        <w:t>2024-2026</w:t>
      </w:r>
      <w:r w:rsidR="00E04C81">
        <w:rPr>
          <w:rFonts w:ascii="Times New Roman" w:hAnsi="Times New Roman"/>
          <w:b/>
          <w:sz w:val="24"/>
          <w:szCs w:val="24"/>
        </w:rPr>
        <w:t xml:space="preserve"> годы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»  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за период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за </w:t>
      </w:r>
      <w:r w:rsidR="00785A07">
        <w:rPr>
          <w:rFonts w:ascii="Times New Roman" w:eastAsia="Courier New" w:hAnsi="Times New Roman" w:cs="Times New Roman"/>
          <w:b/>
        </w:rPr>
        <w:t>4 кв.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 w:cs="Times New Roman"/>
          <w:color w:val="auto"/>
        </w:rPr>
        <w:t xml:space="preserve"> 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7A352B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>» за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785A07">
        <w:rPr>
          <w:rFonts w:ascii="Times New Roman" w:eastAsia="Courier New" w:hAnsi="Times New Roman" w:cs="Times New Roman"/>
          <w:b/>
        </w:rPr>
        <w:t>4 кв.</w:t>
      </w:r>
      <w:r w:rsidR="00E80A50">
        <w:rPr>
          <w:rFonts w:ascii="Times New Roman" w:eastAsia="Courier New" w:hAnsi="Times New Roman" w:cs="Times New Roman"/>
          <w:b/>
        </w:rPr>
        <w:t xml:space="preserve"> </w:t>
      </w:r>
      <w:r w:rsidR="00427A71">
        <w:rPr>
          <w:rFonts w:ascii="Times New Roman" w:eastAsia="Courier New" w:hAnsi="Times New Roman" w:cs="Times New Roman"/>
          <w:b/>
        </w:rPr>
        <w:t>2024</w:t>
      </w:r>
      <w:r w:rsidR="00E80A50">
        <w:rPr>
          <w:rFonts w:ascii="Times New Roman" w:eastAsia="Courier New" w:hAnsi="Times New Roman" w:cs="Times New Roman"/>
          <w:b/>
        </w:rPr>
        <w:t xml:space="preserve"> г.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E80A50">
        <w:rPr>
          <w:rFonts w:ascii="Times New Roman" w:hAnsi="Times New Roman" w:cs="Times New Roman"/>
        </w:rPr>
        <w:t xml:space="preserve"> за </w:t>
      </w:r>
      <w:r w:rsidR="00785A07">
        <w:rPr>
          <w:rFonts w:ascii="Times New Roman" w:hAnsi="Times New Roman" w:cs="Times New Roman"/>
        </w:rPr>
        <w:t>4 кв.</w:t>
      </w:r>
      <w:r w:rsidR="00E80A50">
        <w:rPr>
          <w:rFonts w:ascii="Times New Roman" w:hAnsi="Times New Roman" w:cs="Times New Roman"/>
        </w:rPr>
        <w:t xml:space="preserve"> </w:t>
      </w:r>
      <w:r w:rsidR="00427A71">
        <w:rPr>
          <w:rFonts w:ascii="Times New Roman" w:hAnsi="Times New Roman" w:cs="Times New Roman"/>
        </w:rPr>
        <w:t>2024</w:t>
      </w:r>
      <w:r w:rsidR="00CF63FA" w:rsidRPr="00203EA7">
        <w:rPr>
          <w:rFonts w:ascii="Times New Roman" w:hAnsi="Times New Roman" w:cs="Times New Roman"/>
        </w:rPr>
        <w:t xml:space="preserve"> год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948"/>
        <w:gridCol w:w="1134"/>
        <w:gridCol w:w="1134"/>
        <w:gridCol w:w="524"/>
        <w:gridCol w:w="891"/>
        <w:gridCol w:w="711"/>
        <w:gridCol w:w="567"/>
        <w:gridCol w:w="1134"/>
        <w:gridCol w:w="1134"/>
        <w:gridCol w:w="741"/>
        <w:gridCol w:w="807"/>
        <w:gridCol w:w="10"/>
      </w:tblGrid>
      <w:tr w:rsidR="007C1D29" w:rsidRPr="00203EA7" w:rsidTr="000A0306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0A0306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B57BD" w:rsidRPr="00203EA7" w:rsidTr="000A0306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7A352B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0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2024-2026 годы</w:t>
            </w:r>
            <w:r w:rsidRPr="0019006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» з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4 кв. 2024 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FB57BD" w:rsidRPr="00203EA7" w:rsidRDefault="00FB57BD" w:rsidP="00B748DB">
            <w:pPr>
              <w:rPr>
                <w:sz w:val="20"/>
                <w:szCs w:val="20"/>
                <w:lang w:eastAsia="ru-RU"/>
              </w:rPr>
            </w:pPr>
          </w:p>
          <w:p w:rsidR="00FB57BD" w:rsidRPr="00203EA7" w:rsidRDefault="00FB57BD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119A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E80A5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BD" w:rsidRPr="00203EA7" w:rsidRDefault="00FB57BD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Муниципального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5119A1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</w:rPr>
      </w:pPr>
      <w:r w:rsidRPr="005119A1">
        <w:rPr>
          <w:rStyle w:val="af7"/>
          <w:rFonts w:ascii="Times New Roman" w:hAnsi="Times New Roman"/>
          <w:color w:val="auto"/>
        </w:rPr>
        <w:t>Приложение №3</w:t>
      </w:r>
    </w:p>
    <w:p w:rsidR="003175FB" w:rsidRPr="005119A1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5119A1">
        <w:rPr>
          <w:rFonts w:ascii="Times New Roman" w:hAnsi="Times New Roman"/>
          <w:b/>
        </w:rPr>
        <w:t>к</w:t>
      </w:r>
      <w:r w:rsidR="0062480C" w:rsidRPr="005119A1">
        <w:rPr>
          <w:rFonts w:ascii="Times New Roman" w:hAnsi="Times New Roman"/>
          <w:b/>
        </w:rPr>
        <w:t xml:space="preserve"> отчету</w:t>
      </w:r>
      <w:r w:rsidRPr="005119A1">
        <w:rPr>
          <w:rFonts w:ascii="Times New Roman" w:hAnsi="Times New Roman"/>
          <w:b/>
        </w:rPr>
        <w:t xml:space="preserve"> о реализации муниципальной программы </w:t>
      </w:r>
      <w:r w:rsidR="00190068" w:rsidRPr="005119A1">
        <w:rPr>
          <w:rFonts w:ascii="Times New Roman" w:hAnsi="Times New Roman"/>
          <w:b/>
        </w:rPr>
        <w:t xml:space="preserve">«Совершенствование местного самоуправления в администрации Песчанского  муниципального образования </w:t>
      </w:r>
      <w:r w:rsidR="00E04C81" w:rsidRPr="005119A1">
        <w:rPr>
          <w:rFonts w:ascii="Times New Roman" w:hAnsi="Times New Roman"/>
          <w:b/>
        </w:rPr>
        <w:t xml:space="preserve">на </w:t>
      </w:r>
      <w:r w:rsidR="00427A71">
        <w:rPr>
          <w:rFonts w:ascii="Times New Roman" w:hAnsi="Times New Roman"/>
          <w:b/>
        </w:rPr>
        <w:t>2024-2026</w:t>
      </w:r>
      <w:r w:rsidR="00E04C81" w:rsidRPr="005119A1">
        <w:rPr>
          <w:rFonts w:ascii="Times New Roman" w:hAnsi="Times New Roman"/>
          <w:b/>
        </w:rPr>
        <w:t xml:space="preserve"> годы</w:t>
      </w:r>
      <w:r w:rsidRPr="005119A1">
        <w:rPr>
          <w:rFonts w:ascii="Times New Roman" w:eastAsia="Courier New" w:hAnsi="Times New Roman"/>
          <w:b/>
        </w:rPr>
        <w:t xml:space="preserve">» за </w:t>
      </w:r>
      <w:r w:rsidR="00785A07">
        <w:rPr>
          <w:rFonts w:ascii="Times New Roman" w:eastAsia="Courier New" w:hAnsi="Times New Roman"/>
          <w:b/>
        </w:rPr>
        <w:t>4 кв.</w:t>
      </w:r>
      <w:r w:rsidR="00427A71">
        <w:rPr>
          <w:rFonts w:ascii="Times New Roman" w:eastAsia="Courier New" w:hAnsi="Times New Roman"/>
          <w:b/>
        </w:rPr>
        <w:t>2024</w:t>
      </w:r>
      <w:r w:rsidR="007A352B">
        <w:rPr>
          <w:rFonts w:ascii="Times New Roman" w:eastAsia="Courier New" w:hAnsi="Times New Roman"/>
          <w:b/>
        </w:rPr>
        <w:t xml:space="preserve"> года</w:t>
      </w:r>
    </w:p>
    <w:p w:rsidR="007C1D29" w:rsidRPr="00203EA7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«</w:t>
      </w:r>
      <w:r w:rsidR="00190068" w:rsidRPr="00AA1354">
        <w:rPr>
          <w:rFonts w:ascii="Times New Roman" w:hAnsi="Times New Roman" w:cs="Times New Roman"/>
          <w:b/>
        </w:rPr>
        <w:t xml:space="preserve">Совершенствование местного самоуправления в администрации Песчанского  муниципального образования </w:t>
      </w:r>
      <w:r w:rsidR="00E04C81">
        <w:rPr>
          <w:rFonts w:ascii="Times New Roman" w:hAnsi="Times New Roman" w:cs="Times New Roman"/>
          <w:b/>
        </w:rPr>
        <w:t xml:space="preserve">на </w:t>
      </w:r>
      <w:r w:rsidR="00427A71">
        <w:rPr>
          <w:rFonts w:ascii="Times New Roman" w:hAnsi="Times New Roman" w:cs="Times New Roman"/>
          <w:b/>
        </w:rPr>
        <w:t>2024-2026</w:t>
      </w:r>
      <w:r w:rsidR="00E04C81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за </w:t>
      </w:r>
      <w:r w:rsidR="00E80A50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785A07">
        <w:rPr>
          <w:rFonts w:ascii="Times New Roman" w:eastAsia="Courier New" w:hAnsi="Times New Roman"/>
          <w:b/>
          <w:sz w:val="26"/>
          <w:szCs w:val="26"/>
        </w:rPr>
        <w:t>4 кв.</w:t>
      </w:r>
      <w:r w:rsidR="00E80A50">
        <w:rPr>
          <w:rFonts w:ascii="Times New Roman" w:eastAsia="Courier New" w:hAnsi="Times New Roman"/>
          <w:b/>
          <w:sz w:val="26"/>
          <w:szCs w:val="26"/>
        </w:rPr>
        <w:t xml:space="preserve">  </w:t>
      </w:r>
      <w:r w:rsidR="00427A71">
        <w:rPr>
          <w:rFonts w:ascii="Times New Roman" w:eastAsia="Courier New" w:hAnsi="Times New Roman"/>
          <w:b/>
          <w:sz w:val="26"/>
          <w:szCs w:val="26"/>
        </w:rPr>
        <w:t>2024</w:t>
      </w:r>
      <w:r w:rsidR="007A352B">
        <w:rPr>
          <w:rFonts w:ascii="Times New Roman" w:eastAsia="Courier New" w:hAnsi="Times New Roman"/>
          <w:b/>
          <w:sz w:val="26"/>
          <w:szCs w:val="26"/>
        </w:rPr>
        <w:t xml:space="preserve"> года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FB57BD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7A352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A1354">
              <w:rPr>
                <w:rFonts w:ascii="Times New Roman" w:hAnsi="Times New Roman" w:cs="Times New Roman"/>
                <w:b/>
              </w:rPr>
              <w:t xml:space="preserve">Совершенствование местного самоуправления в администрации Песчанского  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на 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4 кв.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г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57BD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FB57BD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B57BD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7BD" w:rsidRPr="00203EA7" w:rsidRDefault="00FB57BD" w:rsidP="005D2191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207,255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</w:t>
      </w:r>
      <w:r w:rsidR="00A1212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27EE5">
        <w:rPr>
          <w:rFonts w:ascii="Times New Roman" w:hAnsi="Times New Roman" w:cs="Times New Roman"/>
          <w:sz w:val="22"/>
          <w:szCs w:val="22"/>
        </w:rPr>
        <w:t>__________________  _</w:t>
      </w:r>
      <w:r w:rsidR="00A1212D">
        <w:rPr>
          <w:rFonts w:ascii="Times New Roman" w:hAnsi="Times New Roman" w:cs="Times New Roman"/>
          <w:sz w:val="22"/>
          <w:szCs w:val="22"/>
        </w:rPr>
        <w:t>88454820052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2A" w:rsidRDefault="0078122A">
      <w:pPr>
        <w:spacing w:after="0" w:line="240" w:lineRule="auto"/>
      </w:pPr>
      <w:r>
        <w:separator/>
      </w:r>
    </w:p>
  </w:endnote>
  <w:endnote w:type="continuationSeparator" w:id="1">
    <w:p w:rsidR="0078122A" w:rsidRDefault="0078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2A" w:rsidRDefault="0078122A">
      <w:pPr>
        <w:spacing w:after="0" w:line="240" w:lineRule="auto"/>
      </w:pPr>
      <w:r>
        <w:separator/>
      </w:r>
    </w:p>
  </w:footnote>
  <w:footnote w:type="continuationSeparator" w:id="1">
    <w:p w:rsidR="0078122A" w:rsidRDefault="0078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4436"/>
    <w:rsid w:val="0001356A"/>
    <w:rsid w:val="0001681F"/>
    <w:rsid w:val="000219F3"/>
    <w:rsid w:val="00022618"/>
    <w:rsid w:val="00026E6E"/>
    <w:rsid w:val="00041D20"/>
    <w:rsid w:val="000472BD"/>
    <w:rsid w:val="00053A0E"/>
    <w:rsid w:val="000609BF"/>
    <w:rsid w:val="00061C48"/>
    <w:rsid w:val="00063C00"/>
    <w:rsid w:val="0008037B"/>
    <w:rsid w:val="00082E69"/>
    <w:rsid w:val="00084FDD"/>
    <w:rsid w:val="000856A6"/>
    <w:rsid w:val="00095845"/>
    <w:rsid w:val="000A0306"/>
    <w:rsid w:val="000A46BE"/>
    <w:rsid w:val="000A70AD"/>
    <w:rsid w:val="000B28B2"/>
    <w:rsid w:val="000B2BAF"/>
    <w:rsid w:val="000B576D"/>
    <w:rsid w:val="000B622C"/>
    <w:rsid w:val="000C03E5"/>
    <w:rsid w:val="000C0781"/>
    <w:rsid w:val="000C6195"/>
    <w:rsid w:val="000E1AD4"/>
    <w:rsid w:val="000F6463"/>
    <w:rsid w:val="001021FC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0068"/>
    <w:rsid w:val="00191714"/>
    <w:rsid w:val="001A5DEE"/>
    <w:rsid w:val="001B065C"/>
    <w:rsid w:val="001D54A0"/>
    <w:rsid w:val="001E5BDD"/>
    <w:rsid w:val="001F3C4E"/>
    <w:rsid w:val="001F762C"/>
    <w:rsid w:val="00203EA7"/>
    <w:rsid w:val="0021309D"/>
    <w:rsid w:val="00214A25"/>
    <w:rsid w:val="002170C1"/>
    <w:rsid w:val="00232AAD"/>
    <w:rsid w:val="0023609E"/>
    <w:rsid w:val="002365E4"/>
    <w:rsid w:val="002419C8"/>
    <w:rsid w:val="00242FAE"/>
    <w:rsid w:val="00257833"/>
    <w:rsid w:val="00262614"/>
    <w:rsid w:val="002653E8"/>
    <w:rsid w:val="00267CC9"/>
    <w:rsid w:val="0027434B"/>
    <w:rsid w:val="00274BA9"/>
    <w:rsid w:val="00276471"/>
    <w:rsid w:val="0028284B"/>
    <w:rsid w:val="00292ADD"/>
    <w:rsid w:val="002C2B57"/>
    <w:rsid w:val="002C2E1E"/>
    <w:rsid w:val="002C6227"/>
    <w:rsid w:val="002E0887"/>
    <w:rsid w:val="002E5E4B"/>
    <w:rsid w:val="003003B4"/>
    <w:rsid w:val="00302193"/>
    <w:rsid w:val="00303FAB"/>
    <w:rsid w:val="00312664"/>
    <w:rsid w:val="00313195"/>
    <w:rsid w:val="003166EE"/>
    <w:rsid w:val="003175FB"/>
    <w:rsid w:val="003244D5"/>
    <w:rsid w:val="00340CC6"/>
    <w:rsid w:val="00356AB5"/>
    <w:rsid w:val="003627FB"/>
    <w:rsid w:val="00362F72"/>
    <w:rsid w:val="00363F59"/>
    <w:rsid w:val="003706DE"/>
    <w:rsid w:val="00373AE8"/>
    <w:rsid w:val="003761D8"/>
    <w:rsid w:val="00376CE9"/>
    <w:rsid w:val="003810A4"/>
    <w:rsid w:val="00384CD0"/>
    <w:rsid w:val="00386B05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46C5"/>
    <w:rsid w:val="003E0CB1"/>
    <w:rsid w:val="003F3671"/>
    <w:rsid w:val="00404E40"/>
    <w:rsid w:val="00423D44"/>
    <w:rsid w:val="00427733"/>
    <w:rsid w:val="00427A71"/>
    <w:rsid w:val="0043264A"/>
    <w:rsid w:val="00433D97"/>
    <w:rsid w:val="004401CF"/>
    <w:rsid w:val="0044220C"/>
    <w:rsid w:val="00442AA7"/>
    <w:rsid w:val="00450C34"/>
    <w:rsid w:val="004511CC"/>
    <w:rsid w:val="00467FF2"/>
    <w:rsid w:val="00470779"/>
    <w:rsid w:val="00473079"/>
    <w:rsid w:val="004738B8"/>
    <w:rsid w:val="004758CA"/>
    <w:rsid w:val="004955C1"/>
    <w:rsid w:val="004A0C31"/>
    <w:rsid w:val="004A1954"/>
    <w:rsid w:val="004A28BA"/>
    <w:rsid w:val="004A5543"/>
    <w:rsid w:val="004B1618"/>
    <w:rsid w:val="004B2F11"/>
    <w:rsid w:val="004D4F69"/>
    <w:rsid w:val="004E3CF7"/>
    <w:rsid w:val="004F1C64"/>
    <w:rsid w:val="004F26D6"/>
    <w:rsid w:val="004F5DAE"/>
    <w:rsid w:val="004F77C9"/>
    <w:rsid w:val="004F784D"/>
    <w:rsid w:val="00501886"/>
    <w:rsid w:val="00502CC5"/>
    <w:rsid w:val="00503246"/>
    <w:rsid w:val="005058D2"/>
    <w:rsid w:val="00510650"/>
    <w:rsid w:val="005119A1"/>
    <w:rsid w:val="005355F8"/>
    <w:rsid w:val="00550BAD"/>
    <w:rsid w:val="00552937"/>
    <w:rsid w:val="005638D1"/>
    <w:rsid w:val="00564377"/>
    <w:rsid w:val="00567382"/>
    <w:rsid w:val="00583258"/>
    <w:rsid w:val="005848FD"/>
    <w:rsid w:val="00587B0A"/>
    <w:rsid w:val="005919D0"/>
    <w:rsid w:val="0059665A"/>
    <w:rsid w:val="005A1F63"/>
    <w:rsid w:val="005B47EC"/>
    <w:rsid w:val="005B6C0B"/>
    <w:rsid w:val="005C1A90"/>
    <w:rsid w:val="005C5658"/>
    <w:rsid w:val="005D5034"/>
    <w:rsid w:val="005E3647"/>
    <w:rsid w:val="005E3BFC"/>
    <w:rsid w:val="005E7474"/>
    <w:rsid w:val="005E7F85"/>
    <w:rsid w:val="005F1F8A"/>
    <w:rsid w:val="005F4792"/>
    <w:rsid w:val="005F5A1A"/>
    <w:rsid w:val="005F642F"/>
    <w:rsid w:val="006003F5"/>
    <w:rsid w:val="006029AA"/>
    <w:rsid w:val="006064BF"/>
    <w:rsid w:val="00606E83"/>
    <w:rsid w:val="00612FA9"/>
    <w:rsid w:val="00613493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2009"/>
    <w:rsid w:val="00674EE1"/>
    <w:rsid w:val="00683BA4"/>
    <w:rsid w:val="006956D1"/>
    <w:rsid w:val="006A498E"/>
    <w:rsid w:val="006B1273"/>
    <w:rsid w:val="006B2AE2"/>
    <w:rsid w:val="006C056F"/>
    <w:rsid w:val="006C1A59"/>
    <w:rsid w:val="006C320D"/>
    <w:rsid w:val="006E5ABB"/>
    <w:rsid w:val="006E62B9"/>
    <w:rsid w:val="00703D8F"/>
    <w:rsid w:val="00726C52"/>
    <w:rsid w:val="00731383"/>
    <w:rsid w:val="00736CE2"/>
    <w:rsid w:val="007432F1"/>
    <w:rsid w:val="007445D6"/>
    <w:rsid w:val="00747E11"/>
    <w:rsid w:val="00751C96"/>
    <w:rsid w:val="0075504C"/>
    <w:rsid w:val="00757226"/>
    <w:rsid w:val="007646B8"/>
    <w:rsid w:val="00770C64"/>
    <w:rsid w:val="00772800"/>
    <w:rsid w:val="00774536"/>
    <w:rsid w:val="0078122A"/>
    <w:rsid w:val="00785A07"/>
    <w:rsid w:val="00786761"/>
    <w:rsid w:val="007912B3"/>
    <w:rsid w:val="007927BE"/>
    <w:rsid w:val="00795CB6"/>
    <w:rsid w:val="00796AB3"/>
    <w:rsid w:val="007A352B"/>
    <w:rsid w:val="007A7A32"/>
    <w:rsid w:val="007B1297"/>
    <w:rsid w:val="007B1F6E"/>
    <w:rsid w:val="007B395C"/>
    <w:rsid w:val="007C1D29"/>
    <w:rsid w:val="007C3B1E"/>
    <w:rsid w:val="007D4BA0"/>
    <w:rsid w:val="007E0A8E"/>
    <w:rsid w:val="007E1373"/>
    <w:rsid w:val="007E39D6"/>
    <w:rsid w:val="007E4C54"/>
    <w:rsid w:val="007E75E1"/>
    <w:rsid w:val="007F0015"/>
    <w:rsid w:val="007F2E23"/>
    <w:rsid w:val="0080290F"/>
    <w:rsid w:val="00807A76"/>
    <w:rsid w:val="00815C11"/>
    <w:rsid w:val="00817B22"/>
    <w:rsid w:val="00824A42"/>
    <w:rsid w:val="00831A35"/>
    <w:rsid w:val="008329E4"/>
    <w:rsid w:val="00834E6C"/>
    <w:rsid w:val="008363B8"/>
    <w:rsid w:val="00843671"/>
    <w:rsid w:val="008478BE"/>
    <w:rsid w:val="00852012"/>
    <w:rsid w:val="0086101B"/>
    <w:rsid w:val="00863DE4"/>
    <w:rsid w:val="00864FB4"/>
    <w:rsid w:val="008776AA"/>
    <w:rsid w:val="00883917"/>
    <w:rsid w:val="0089731E"/>
    <w:rsid w:val="008A7486"/>
    <w:rsid w:val="008C0820"/>
    <w:rsid w:val="008C7363"/>
    <w:rsid w:val="008D0611"/>
    <w:rsid w:val="008E2422"/>
    <w:rsid w:val="008E3BD8"/>
    <w:rsid w:val="008E4722"/>
    <w:rsid w:val="008F5B54"/>
    <w:rsid w:val="00911B88"/>
    <w:rsid w:val="009209EC"/>
    <w:rsid w:val="00920E7F"/>
    <w:rsid w:val="0092100E"/>
    <w:rsid w:val="00936269"/>
    <w:rsid w:val="00937A37"/>
    <w:rsid w:val="00941055"/>
    <w:rsid w:val="00945C7C"/>
    <w:rsid w:val="0094638A"/>
    <w:rsid w:val="00952DE7"/>
    <w:rsid w:val="00964D06"/>
    <w:rsid w:val="009665AD"/>
    <w:rsid w:val="00972B9D"/>
    <w:rsid w:val="00973BD0"/>
    <w:rsid w:val="00973F37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212D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809EC"/>
    <w:rsid w:val="00A844CE"/>
    <w:rsid w:val="00A85941"/>
    <w:rsid w:val="00A90BDC"/>
    <w:rsid w:val="00A979A2"/>
    <w:rsid w:val="00AA1354"/>
    <w:rsid w:val="00AB54CF"/>
    <w:rsid w:val="00AB5B6F"/>
    <w:rsid w:val="00AC0033"/>
    <w:rsid w:val="00AC6A28"/>
    <w:rsid w:val="00AD1DF7"/>
    <w:rsid w:val="00AD3A65"/>
    <w:rsid w:val="00AD7860"/>
    <w:rsid w:val="00AE05D9"/>
    <w:rsid w:val="00AE1663"/>
    <w:rsid w:val="00AF07C0"/>
    <w:rsid w:val="00AF646C"/>
    <w:rsid w:val="00B02CC9"/>
    <w:rsid w:val="00B11F91"/>
    <w:rsid w:val="00B150C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73B65"/>
    <w:rsid w:val="00B74112"/>
    <w:rsid w:val="00B748DB"/>
    <w:rsid w:val="00B93161"/>
    <w:rsid w:val="00B93781"/>
    <w:rsid w:val="00B93AB9"/>
    <w:rsid w:val="00BA69E1"/>
    <w:rsid w:val="00BA73C6"/>
    <w:rsid w:val="00BB61C3"/>
    <w:rsid w:val="00BB7625"/>
    <w:rsid w:val="00BD4228"/>
    <w:rsid w:val="00BD542F"/>
    <w:rsid w:val="00BD7A39"/>
    <w:rsid w:val="00BE2E29"/>
    <w:rsid w:val="00BF1610"/>
    <w:rsid w:val="00BF6D54"/>
    <w:rsid w:val="00C03EF3"/>
    <w:rsid w:val="00C04151"/>
    <w:rsid w:val="00C131EE"/>
    <w:rsid w:val="00C24F44"/>
    <w:rsid w:val="00C26481"/>
    <w:rsid w:val="00C52850"/>
    <w:rsid w:val="00C53DD7"/>
    <w:rsid w:val="00C6436A"/>
    <w:rsid w:val="00C71889"/>
    <w:rsid w:val="00C72487"/>
    <w:rsid w:val="00C84D2E"/>
    <w:rsid w:val="00C85715"/>
    <w:rsid w:val="00C9209A"/>
    <w:rsid w:val="00C92979"/>
    <w:rsid w:val="00C9586B"/>
    <w:rsid w:val="00C96F43"/>
    <w:rsid w:val="00CA0C30"/>
    <w:rsid w:val="00CB7BC2"/>
    <w:rsid w:val="00CC101C"/>
    <w:rsid w:val="00CD0B1D"/>
    <w:rsid w:val="00CD274A"/>
    <w:rsid w:val="00CD34F4"/>
    <w:rsid w:val="00CD3A0B"/>
    <w:rsid w:val="00CE5999"/>
    <w:rsid w:val="00CF43D3"/>
    <w:rsid w:val="00CF53D8"/>
    <w:rsid w:val="00CF63FA"/>
    <w:rsid w:val="00D0410B"/>
    <w:rsid w:val="00D3711D"/>
    <w:rsid w:val="00D42870"/>
    <w:rsid w:val="00D80EC9"/>
    <w:rsid w:val="00D95BC7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C7B"/>
    <w:rsid w:val="00E04C81"/>
    <w:rsid w:val="00E0758F"/>
    <w:rsid w:val="00E156C8"/>
    <w:rsid w:val="00E26766"/>
    <w:rsid w:val="00E405F0"/>
    <w:rsid w:val="00E4124D"/>
    <w:rsid w:val="00E4367F"/>
    <w:rsid w:val="00E44511"/>
    <w:rsid w:val="00E470A8"/>
    <w:rsid w:val="00E47D5B"/>
    <w:rsid w:val="00E61A62"/>
    <w:rsid w:val="00E73E7D"/>
    <w:rsid w:val="00E7551F"/>
    <w:rsid w:val="00E80A50"/>
    <w:rsid w:val="00E80ADB"/>
    <w:rsid w:val="00E827D0"/>
    <w:rsid w:val="00E85040"/>
    <w:rsid w:val="00E86FDB"/>
    <w:rsid w:val="00EA10B6"/>
    <w:rsid w:val="00EA321D"/>
    <w:rsid w:val="00EA3BB7"/>
    <w:rsid w:val="00EB0706"/>
    <w:rsid w:val="00EB2F9A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2638B"/>
    <w:rsid w:val="00F324C6"/>
    <w:rsid w:val="00F32953"/>
    <w:rsid w:val="00F34F9E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87A57"/>
    <w:rsid w:val="00F971D8"/>
    <w:rsid w:val="00F97456"/>
    <w:rsid w:val="00FB57BD"/>
    <w:rsid w:val="00FB6DE6"/>
    <w:rsid w:val="00FD7D56"/>
    <w:rsid w:val="00FE417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  <w:style w:type="paragraph" w:styleId="afffff2">
    <w:name w:val="Subtitle"/>
    <w:basedOn w:val="a"/>
    <w:next w:val="a"/>
    <w:link w:val="afffff3"/>
    <w:uiPriority w:val="99"/>
    <w:qFormat/>
    <w:rsid w:val="00A844C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</w:rPr>
  </w:style>
  <w:style w:type="character" w:customStyle="1" w:styleId="afffff3">
    <w:name w:val="Подзаголовок Знак"/>
    <w:basedOn w:val="a0"/>
    <w:link w:val="afffff2"/>
    <w:uiPriority w:val="99"/>
    <w:rsid w:val="00A844CE"/>
    <w:rPr>
      <w:rFonts w:ascii="Arial" w:eastAsia="Times New Roman" w:hAnsi="Arial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15436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59</cp:revision>
  <cp:lastPrinted>2020-03-04T12:49:00Z</cp:lastPrinted>
  <dcterms:created xsi:type="dcterms:W3CDTF">2020-03-04T09:52:00Z</dcterms:created>
  <dcterms:modified xsi:type="dcterms:W3CDTF">2025-01-10T10:56:00Z</dcterms:modified>
</cp:coreProperties>
</file>